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color w:val="ff0000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76.999999999998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992"/>
        <w:gridCol w:w="4678"/>
        <w:gridCol w:w="4678"/>
        <w:gridCol w:w="4394"/>
        <w:tblGridChange w:id="0">
          <w:tblGrid>
            <w:gridCol w:w="1135"/>
            <w:gridCol w:w="992"/>
            <w:gridCol w:w="4678"/>
            <w:gridCol w:w="4678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Class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Reception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omic Sans MS" w:cs="Comic Sans MS" w:eastAsia="Comic Sans MS" w:hAnsi="Comic Sans MS"/>
                <w:sz w:val="32"/>
                <w:szCs w:val="3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gridSpan w:val="2"/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1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Computing Systems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Data and Information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E-Safety 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Creating Media A and B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Programme A and B</w:t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2/3/4/5</w:t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Cycle A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Computing Systems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-connecting computer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-the internet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-systems and searching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E-safety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before="120" w:lineRule="auto"/>
              <w:ind w:left="90" w:firstLine="0"/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Creating Media B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-desktop publishing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-Photo Editing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-Intro to vector graphics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Cycle 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E-safety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Creating Media A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-stop-frame animation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-audio production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-video production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Data and Information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-branching databases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-data logging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-Flat-file databases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Cycle C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before="120" w:lineRule="auto"/>
              <w:ind w:left="90" w:firstLine="0"/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Programming A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-Sequencing Sounds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-Repetition in shapes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-Selection in physical 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Programming B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-Events and Actions in programs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-Repetition in Games 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-Selection in Quizzes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E-safety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Six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Computing Systems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Data and Information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Creating Media A and B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E-Safety 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omic Sans MS" w:cs="Comic Sans MS" w:eastAsia="Comic Sans MS" w:hAnsi="Comic Sans MS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8"/>
                <w:szCs w:val="28"/>
                <w:rtl w:val="0"/>
              </w:rPr>
              <w:t xml:space="preserve">Programme A and B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Our Lady of Good Counsel</w:t>
    </w:r>
  </w:p>
  <w:p w:rsidR="00000000" w:rsidDel="00000000" w:rsidP="00000000" w:rsidRDefault="00000000" w:rsidRPr="00000000" w14:paraId="00000041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 Computing Long Term Overview 2026-2027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gcVW8DCWVYSC+LLA1bD1pjPPfg==">CgMxLjA4AHIhMTBoNHNXTS1HRW1tdzI2Z2lwSzFEdzBud1Z0Nmc3X3BO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