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4704" w:tblpY="7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  <w:gridCol w:w="1417"/>
        <w:gridCol w:w="2835"/>
      </w:tblGrid>
      <w:tr w:rsidR="006A4717" w14:paraId="75B4B269" w14:textId="77777777" w:rsidTr="00062470">
        <w:trPr>
          <w:trHeight w:val="451"/>
        </w:trPr>
        <w:tc>
          <w:tcPr>
            <w:tcW w:w="421" w:type="dxa"/>
            <w:shd w:val="clear" w:color="auto" w:fill="FFF2CC" w:themeFill="accent4" w:themeFillTint="33"/>
          </w:tcPr>
          <w:p w14:paraId="0F384262" w14:textId="77777777" w:rsidR="00A51A29" w:rsidRDefault="002D3A06" w:rsidP="009F164B">
            <w:r>
              <w:t>1.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7C575189" w14:textId="49B51E99" w:rsidR="00A51A29" w:rsidRPr="007464ED" w:rsidRDefault="00640589" w:rsidP="009F16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Sacraments of Initiation: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3CDFEDDB" w14:textId="7FBE1C2F" w:rsidR="00A51A29" w:rsidRPr="007464ED" w:rsidRDefault="00640589" w:rsidP="004F02AF">
            <w:pPr>
              <w:rPr>
                <w:sz w:val="20"/>
              </w:rPr>
            </w:pPr>
            <w:r>
              <w:rPr>
                <w:sz w:val="20"/>
              </w:rPr>
              <w:t>Baptism, Confirmation, Eucharist</w:t>
            </w:r>
          </w:p>
        </w:tc>
      </w:tr>
      <w:tr w:rsidR="006A4717" w14:paraId="69709B31" w14:textId="77777777" w:rsidTr="00062470">
        <w:trPr>
          <w:trHeight w:val="475"/>
        </w:trPr>
        <w:tc>
          <w:tcPr>
            <w:tcW w:w="421" w:type="dxa"/>
            <w:shd w:val="clear" w:color="auto" w:fill="F7CAAC" w:themeFill="accent2" w:themeFillTint="66"/>
          </w:tcPr>
          <w:p w14:paraId="302D6DC4" w14:textId="77777777" w:rsidR="00A51A29" w:rsidRDefault="002D3A06" w:rsidP="009F164B">
            <w:r>
              <w:t>2.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59D8C959" w14:textId="648E9493" w:rsidR="00A51A29" w:rsidRPr="007464ED" w:rsidRDefault="00640589" w:rsidP="009F16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Sacraments of Healing: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6CB150AB" w14:textId="136803AD" w:rsidR="00A51A29" w:rsidRPr="007464ED" w:rsidRDefault="00640589" w:rsidP="009F164B">
            <w:pPr>
              <w:rPr>
                <w:sz w:val="20"/>
              </w:rPr>
            </w:pPr>
            <w:r>
              <w:rPr>
                <w:sz w:val="20"/>
              </w:rPr>
              <w:t>Reconciliation (Penance), Anointing of the sick</w:t>
            </w:r>
          </w:p>
        </w:tc>
      </w:tr>
      <w:tr w:rsidR="006A4717" w14:paraId="3E44B99B" w14:textId="77777777" w:rsidTr="00062470">
        <w:trPr>
          <w:trHeight w:val="488"/>
        </w:trPr>
        <w:tc>
          <w:tcPr>
            <w:tcW w:w="421" w:type="dxa"/>
            <w:shd w:val="clear" w:color="auto" w:fill="FFF2CC" w:themeFill="accent4" w:themeFillTint="33"/>
          </w:tcPr>
          <w:p w14:paraId="1FFE965F" w14:textId="77777777" w:rsidR="00A51A29" w:rsidRDefault="00552765" w:rsidP="009F164B">
            <w:r>
              <w:t>3.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04DB7FC0" w14:textId="091F9044" w:rsidR="00A51A29" w:rsidRPr="007464ED" w:rsidRDefault="00640589" w:rsidP="009F16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Sacraments in service to Holy Communion: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73C095EE" w14:textId="70556CBA" w:rsidR="00A51A29" w:rsidRPr="007464ED" w:rsidRDefault="00640589" w:rsidP="009F164B">
            <w:pPr>
              <w:rPr>
                <w:sz w:val="20"/>
              </w:rPr>
            </w:pPr>
            <w:r>
              <w:rPr>
                <w:sz w:val="20"/>
              </w:rPr>
              <w:t>Marriage, Holy Orders</w:t>
            </w:r>
          </w:p>
        </w:tc>
      </w:tr>
      <w:tr w:rsidR="006A4717" w14:paraId="27E39AC8" w14:textId="77777777" w:rsidTr="00062470">
        <w:trPr>
          <w:trHeight w:val="450"/>
        </w:trPr>
        <w:tc>
          <w:tcPr>
            <w:tcW w:w="421" w:type="dxa"/>
            <w:shd w:val="clear" w:color="auto" w:fill="F7CAAC" w:themeFill="accent2" w:themeFillTint="66"/>
          </w:tcPr>
          <w:p w14:paraId="6D9149BF" w14:textId="77777777" w:rsidR="00A51A29" w:rsidRDefault="00552765" w:rsidP="009F164B">
            <w:r>
              <w:t>4.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79C70770" w14:textId="20145388" w:rsidR="00A51A29" w:rsidRPr="007464ED" w:rsidRDefault="00640589" w:rsidP="009F164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Sacraments definition: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637558FC" w14:textId="2B9CE3C2" w:rsidR="00A51A29" w:rsidRPr="007464ED" w:rsidRDefault="00640589" w:rsidP="009F164B">
            <w:pPr>
              <w:rPr>
                <w:sz w:val="20"/>
              </w:rPr>
            </w:pPr>
            <w:r>
              <w:rPr>
                <w:sz w:val="20"/>
              </w:rPr>
              <w:t xml:space="preserve">There are seven Sacraments, and they are meeting points with God that bring people into a closer relationship with God. </w:t>
            </w:r>
          </w:p>
        </w:tc>
      </w:tr>
      <w:tr w:rsidR="006A4717" w14:paraId="1C640D23" w14:textId="09B2D956" w:rsidTr="00062470">
        <w:trPr>
          <w:trHeight w:val="476"/>
        </w:trPr>
        <w:tc>
          <w:tcPr>
            <w:tcW w:w="421" w:type="dxa"/>
            <w:shd w:val="clear" w:color="auto" w:fill="FFF2CC" w:themeFill="accent4" w:themeFillTint="33"/>
          </w:tcPr>
          <w:p w14:paraId="61B5BF53" w14:textId="77777777" w:rsidR="008F65AA" w:rsidRPr="004F02AF" w:rsidRDefault="008F65AA" w:rsidP="009F164B">
            <w:pPr>
              <w:rPr>
                <w:sz w:val="20"/>
              </w:rPr>
            </w:pPr>
            <w:r w:rsidRPr="004F02AF">
              <w:rPr>
                <w:sz w:val="20"/>
              </w:rPr>
              <w:t>5.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1479B6BC" w14:textId="22A5445E" w:rsidR="008F65AA" w:rsidRPr="00F10CA1" w:rsidRDefault="00640589" w:rsidP="009F164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Purpose of Sacraments: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14:paraId="2D487B01" w14:textId="423844E5" w:rsidR="008F65AA" w:rsidRPr="004F02AF" w:rsidRDefault="00640589" w:rsidP="00640589">
            <w:pPr>
              <w:rPr>
                <w:sz w:val="20"/>
              </w:rPr>
            </w:pPr>
            <w:r>
              <w:rPr>
                <w:sz w:val="20"/>
              </w:rPr>
              <w:t>To</w:t>
            </w:r>
            <w:r w:rsidRPr="00640589">
              <w:rPr>
                <w:sz w:val="20"/>
              </w:rPr>
              <w:t xml:space="preserve"> help people grow more like Jesus, and through him</w:t>
            </w:r>
            <w:r>
              <w:rPr>
                <w:sz w:val="20"/>
              </w:rPr>
              <w:t xml:space="preserve"> </w:t>
            </w:r>
            <w:r w:rsidRPr="00640589">
              <w:rPr>
                <w:sz w:val="20"/>
              </w:rPr>
              <w:t>become children of God.</w:t>
            </w:r>
          </w:p>
        </w:tc>
      </w:tr>
      <w:tr w:rsidR="006A4717" w14:paraId="18B21A0A" w14:textId="19101F44" w:rsidTr="00062470">
        <w:trPr>
          <w:trHeight w:val="512"/>
        </w:trPr>
        <w:tc>
          <w:tcPr>
            <w:tcW w:w="421" w:type="dxa"/>
            <w:shd w:val="clear" w:color="auto" w:fill="F7CAAC" w:themeFill="accent2" w:themeFillTint="66"/>
          </w:tcPr>
          <w:p w14:paraId="4558AC17" w14:textId="77777777" w:rsidR="008F65AA" w:rsidRPr="004F02AF" w:rsidRDefault="008F65AA" w:rsidP="009F164B">
            <w:pPr>
              <w:rPr>
                <w:sz w:val="20"/>
              </w:rPr>
            </w:pPr>
            <w:r w:rsidRPr="004F02AF">
              <w:rPr>
                <w:sz w:val="20"/>
              </w:rPr>
              <w:t>6.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14:paraId="75CEC6EB" w14:textId="510EF55E" w:rsidR="008F65AA" w:rsidRPr="00F10CA1" w:rsidRDefault="00824AE5" w:rsidP="009F164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Administering the Sacraments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14:paraId="1A8C2CBA" w14:textId="467E7CC4" w:rsidR="008F65AA" w:rsidRPr="004F02AF" w:rsidRDefault="00824AE5" w:rsidP="009F164B">
            <w:pPr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proofErr w:type="gramStart"/>
            <w:r>
              <w:rPr>
                <w:sz w:val="20"/>
              </w:rPr>
              <w:t>Bishop</w:t>
            </w:r>
            <w:proofErr w:type="gramEnd"/>
            <w:r>
              <w:rPr>
                <w:sz w:val="20"/>
              </w:rPr>
              <w:t xml:space="preserve"> administers Confirmation and Holy Orders because he is a successor of the apostles. </w:t>
            </w:r>
          </w:p>
        </w:tc>
      </w:tr>
      <w:tr w:rsidR="00F65281" w14:paraId="77A46238" w14:textId="77777777" w:rsidTr="00062470">
        <w:trPr>
          <w:trHeight w:val="1925"/>
        </w:trPr>
        <w:tc>
          <w:tcPr>
            <w:tcW w:w="4673" w:type="dxa"/>
            <w:gridSpan w:val="3"/>
            <w:shd w:val="clear" w:color="auto" w:fill="F7CAAC" w:themeFill="accent2" w:themeFillTint="66"/>
          </w:tcPr>
          <w:p w14:paraId="33C03864" w14:textId="77777777" w:rsidR="00F65281" w:rsidRDefault="006A4717" w:rsidP="006A471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noProof/>
                <w:sz w:val="20"/>
              </w:rPr>
              <w:drawing>
                <wp:inline distT="0" distB="0" distL="0" distR="0" wp14:anchorId="09309532" wp14:editId="6990EDD4">
                  <wp:extent cx="1038225" cy="1255316"/>
                  <wp:effectExtent l="0" t="0" r="0" b="2540"/>
                  <wp:docPr id="730936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02" cy="1300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62470">
              <w:rPr>
                <w:sz w:val="20"/>
              </w:rPr>
              <w:t xml:space="preserve">     </w:t>
            </w:r>
            <w:r w:rsidR="00062470">
              <w:rPr>
                <w:noProof/>
                <w:sz w:val="20"/>
              </w:rPr>
              <w:drawing>
                <wp:inline distT="0" distB="0" distL="0" distR="0" wp14:anchorId="13F93D27" wp14:editId="4E7E97C3">
                  <wp:extent cx="1600200" cy="907693"/>
                  <wp:effectExtent l="0" t="0" r="0" b="6985"/>
                  <wp:docPr id="14092842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9076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53B71C" w14:textId="1024E80B" w:rsidR="00062470" w:rsidRDefault="00062470" w:rsidP="006A4717">
            <w:pPr>
              <w:rPr>
                <w:sz w:val="20"/>
              </w:rPr>
            </w:pPr>
            <w:r>
              <w:rPr>
                <w:sz w:val="20"/>
              </w:rPr>
              <w:t xml:space="preserve">      Jen Norton                        Jesus </w:t>
            </w:r>
            <w:proofErr w:type="spellStart"/>
            <w:r>
              <w:rPr>
                <w:sz w:val="20"/>
              </w:rPr>
              <w:t>Mafa</w:t>
            </w:r>
            <w:proofErr w:type="spellEnd"/>
            <w:r w:rsidR="00B97F0F">
              <w:rPr>
                <w:sz w:val="20"/>
              </w:rPr>
              <w:t xml:space="preserve"> (Cameroon) </w:t>
            </w:r>
          </w:p>
        </w:tc>
      </w:tr>
    </w:tbl>
    <w:tbl>
      <w:tblPr>
        <w:tblpPr w:leftFromText="180" w:rightFromText="180" w:vertAnchor="text" w:tblpX="9582" w:tblpY="7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"/>
        <w:gridCol w:w="1485"/>
        <w:gridCol w:w="4116"/>
      </w:tblGrid>
      <w:tr w:rsidR="00A51A29" w14:paraId="1B9D0C12" w14:textId="77777777" w:rsidTr="00B97F0F">
        <w:trPr>
          <w:trHeight w:val="447"/>
        </w:trPr>
        <w:tc>
          <w:tcPr>
            <w:tcW w:w="247" w:type="dxa"/>
            <w:shd w:val="clear" w:color="auto" w:fill="E2EFD9" w:themeFill="accent6" w:themeFillTint="33"/>
          </w:tcPr>
          <w:p w14:paraId="1187188B" w14:textId="7CD67A17" w:rsidR="00A51A29" w:rsidRDefault="00900B2C" w:rsidP="00B97F0F">
            <w:r>
              <w:t>1.</w:t>
            </w:r>
          </w:p>
        </w:tc>
        <w:tc>
          <w:tcPr>
            <w:tcW w:w="1485" w:type="dxa"/>
            <w:shd w:val="clear" w:color="auto" w:fill="E2EFD9" w:themeFill="accent6" w:themeFillTint="33"/>
          </w:tcPr>
          <w:p w14:paraId="06C545AC" w14:textId="0E9F9E55" w:rsidR="00A51A29" w:rsidRPr="007464ED" w:rsidRDefault="00900B2C" w:rsidP="00B97F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The Wedding at Cana </w:t>
            </w:r>
            <w:r>
              <w:rPr>
                <w:b/>
                <w:sz w:val="20"/>
              </w:rPr>
              <w:br/>
            </w:r>
            <w:r w:rsidRPr="00900B2C">
              <w:rPr>
                <w:b/>
                <w:sz w:val="20"/>
              </w:rPr>
              <w:t>(Jn 2:1-12)</w:t>
            </w:r>
          </w:p>
        </w:tc>
        <w:tc>
          <w:tcPr>
            <w:tcW w:w="4116" w:type="dxa"/>
            <w:shd w:val="clear" w:color="auto" w:fill="E2EFD9" w:themeFill="accent6" w:themeFillTint="33"/>
          </w:tcPr>
          <w:p w14:paraId="590E7B4D" w14:textId="5986CAA5" w:rsidR="00A51A29" w:rsidRPr="007464ED" w:rsidRDefault="00900B2C" w:rsidP="00B97F0F">
            <w:pPr>
              <w:rPr>
                <w:sz w:val="20"/>
              </w:rPr>
            </w:pPr>
            <w:r w:rsidRPr="00900B2C">
              <w:rPr>
                <w:sz w:val="20"/>
              </w:rPr>
              <w:t>Jesus turns water into wine. He can transform created</w:t>
            </w:r>
            <w:r>
              <w:rPr>
                <w:sz w:val="20"/>
              </w:rPr>
              <w:t xml:space="preserve"> </w:t>
            </w:r>
            <w:r w:rsidRPr="00900B2C">
              <w:rPr>
                <w:sz w:val="20"/>
              </w:rPr>
              <w:t>elements – links with the Eucharist.</w:t>
            </w:r>
          </w:p>
        </w:tc>
      </w:tr>
      <w:tr w:rsidR="00A51A29" w14:paraId="4B99832C" w14:textId="77777777" w:rsidTr="00B97F0F">
        <w:trPr>
          <w:trHeight w:val="559"/>
        </w:trPr>
        <w:tc>
          <w:tcPr>
            <w:tcW w:w="247" w:type="dxa"/>
            <w:shd w:val="clear" w:color="auto" w:fill="C5E0B3" w:themeFill="accent6" w:themeFillTint="66"/>
          </w:tcPr>
          <w:p w14:paraId="72E4D2DF" w14:textId="03B35ACA" w:rsidR="00A51A29" w:rsidRDefault="00900B2C" w:rsidP="00B97F0F">
            <w:r>
              <w:t xml:space="preserve">2. 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4F7AA807" w14:textId="57B80E0A" w:rsidR="00A51A29" w:rsidRPr="007464ED" w:rsidRDefault="00900B2C" w:rsidP="00B97F0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Healing of the Official’s Son </w:t>
            </w:r>
            <w:r w:rsidRPr="00900B2C">
              <w:rPr>
                <w:b/>
                <w:sz w:val="20"/>
              </w:rPr>
              <w:t>(Jn 4:46-54)</w:t>
            </w:r>
          </w:p>
        </w:tc>
        <w:tc>
          <w:tcPr>
            <w:tcW w:w="4116" w:type="dxa"/>
            <w:shd w:val="clear" w:color="auto" w:fill="C5E0B3" w:themeFill="accent6" w:themeFillTint="66"/>
          </w:tcPr>
          <w:p w14:paraId="2F8CE77D" w14:textId="460A6EDB" w:rsidR="00A51A29" w:rsidRPr="007464ED" w:rsidRDefault="00900B2C" w:rsidP="00B97F0F">
            <w:pPr>
              <w:rPr>
                <w:sz w:val="20"/>
              </w:rPr>
            </w:pPr>
            <w:r w:rsidRPr="00900B2C">
              <w:rPr>
                <w:sz w:val="20"/>
              </w:rPr>
              <w:t>Jesus heals with a word, his words have power, he is</w:t>
            </w:r>
            <w:r>
              <w:rPr>
                <w:sz w:val="20"/>
              </w:rPr>
              <w:t xml:space="preserve"> </w:t>
            </w:r>
            <w:r w:rsidRPr="00900B2C">
              <w:rPr>
                <w:sz w:val="20"/>
              </w:rPr>
              <w:t>the Word of God. Links with the prologue Jn 1:1-2.</w:t>
            </w:r>
          </w:p>
        </w:tc>
      </w:tr>
      <w:tr w:rsidR="00A51A29" w14:paraId="45C09257" w14:textId="77777777" w:rsidTr="00B97F0F">
        <w:trPr>
          <w:trHeight w:val="264"/>
        </w:trPr>
        <w:tc>
          <w:tcPr>
            <w:tcW w:w="247" w:type="dxa"/>
            <w:shd w:val="clear" w:color="auto" w:fill="E2EFD9" w:themeFill="accent6" w:themeFillTint="33"/>
          </w:tcPr>
          <w:p w14:paraId="5B4A03E0" w14:textId="7E964ABE" w:rsidR="00A51A29" w:rsidRDefault="00931E31" w:rsidP="00B97F0F">
            <w:r>
              <w:t>3.</w:t>
            </w:r>
          </w:p>
        </w:tc>
        <w:tc>
          <w:tcPr>
            <w:tcW w:w="1485" w:type="dxa"/>
            <w:shd w:val="clear" w:color="auto" w:fill="E2EFD9" w:themeFill="accent6" w:themeFillTint="33"/>
          </w:tcPr>
          <w:p w14:paraId="4183A0DC" w14:textId="781F8E27" w:rsidR="00A51A29" w:rsidRPr="007464ED" w:rsidRDefault="00931E31" w:rsidP="00B97F0F">
            <w:pPr>
              <w:rPr>
                <w:b/>
                <w:sz w:val="20"/>
              </w:rPr>
            </w:pPr>
            <w:r w:rsidRPr="00931E31">
              <w:rPr>
                <w:b/>
                <w:sz w:val="20"/>
              </w:rPr>
              <w:t xml:space="preserve">Healing the man at Bethesda </w:t>
            </w:r>
            <w:r>
              <w:rPr>
                <w:b/>
                <w:sz w:val="20"/>
              </w:rPr>
              <w:br/>
            </w:r>
            <w:r w:rsidRPr="00931E31">
              <w:rPr>
                <w:b/>
                <w:sz w:val="20"/>
              </w:rPr>
              <w:t>(Jn 5:1-15)</w:t>
            </w:r>
          </w:p>
        </w:tc>
        <w:tc>
          <w:tcPr>
            <w:tcW w:w="4116" w:type="dxa"/>
            <w:shd w:val="clear" w:color="auto" w:fill="E2EFD9" w:themeFill="accent6" w:themeFillTint="33"/>
          </w:tcPr>
          <w:p w14:paraId="71BEF4C1" w14:textId="09A888A0" w:rsidR="00A51A29" w:rsidRPr="007464ED" w:rsidRDefault="00931E31" w:rsidP="00B97F0F">
            <w:pPr>
              <w:rPr>
                <w:sz w:val="20"/>
              </w:rPr>
            </w:pPr>
            <w:r w:rsidRPr="00931E31">
              <w:rPr>
                <w:sz w:val="20"/>
              </w:rPr>
              <w:t>Jesus heals on the Sabbath; he is Lord of the Sabbath.</w:t>
            </w:r>
            <w:r>
              <w:rPr>
                <w:sz w:val="20"/>
              </w:rPr>
              <w:t xml:space="preserve"> </w:t>
            </w:r>
            <w:r w:rsidRPr="00931E31">
              <w:rPr>
                <w:sz w:val="20"/>
              </w:rPr>
              <w:t xml:space="preserve">However, the man does not recognise that Jesus has healed him and </w:t>
            </w:r>
            <w:r>
              <w:rPr>
                <w:sz w:val="20"/>
              </w:rPr>
              <w:t>speaks</w:t>
            </w:r>
            <w:r w:rsidRPr="00931E31">
              <w:rPr>
                <w:sz w:val="20"/>
              </w:rPr>
              <w:t xml:space="preserve"> to the</w:t>
            </w:r>
            <w:r>
              <w:rPr>
                <w:sz w:val="20"/>
              </w:rPr>
              <w:t xml:space="preserve"> </w:t>
            </w:r>
            <w:r w:rsidRPr="00931E31">
              <w:rPr>
                <w:sz w:val="20"/>
              </w:rPr>
              <w:t>authorities. Links with spiritual blindness and seeing Jesus as the Messiah.</w:t>
            </w:r>
          </w:p>
        </w:tc>
      </w:tr>
      <w:tr w:rsidR="00A51A29" w14:paraId="10CA0F33" w14:textId="77777777" w:rsidTr="00B97F0F">
        <w:trPr>
          <w:trHeight w:val="561"/>
        </w:trPr>
        <w:tc>
          <w:tcPr>
            <w:tcW w:w="247" w:type="dxa"/>
            <w:shd w:val="clear" w:color="auto" w:fill="C5E0B3" w:themeFill="accent6" w:themeFillTint="66"/>
          </w:tcPr>
          <w:p w14:paraId="07BAE1C2" w14:textId="300E11E7" w:rsidR="00A51A29" w:rsidRDefault="00931E31" w:rsidP="00B97F0F">
            <w:r>
              <w:t>4.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27739443" w14:textId="6FAEF046" w:rsidR="00A51A29" w:rsidRPr="007464ED" w:rsidRDefault="00931E31" w:rsidP="00B97F0F">
            <w:pPr>
              <w:rPr>
                <w:b/>
                <w:sz w:val="20"/>
              </w:rPr>
            </w:pPr>
            <w:r w:rsidRPr="00931E31">
              <w:rPr>
                <w:b/>
                <w:sz w:val="20"/>
              </w:rPr>
              <w:t>Feeding of the Five Thousand (Jn 6:5-14)</w:t>
            </w:r>
          </w:p>
        </w:tc>
        <w:tc>
          <w:tcPr>
            <w:tcW w:w="4116" w:type="dxa"/>
            <w:shd w:val="clear" w:color="auto" w:fill="C5E0B3" w:themeFill="accent6" w:themeFillTint="66"/>
          </w:tcPr>
          <w:p w14:paraId="180B9E71" w14:textId="09779FAF" w:rsidR="00A51A29" w:rsidRPr="007464ED" w:rsidRDefault="00931E31" w:rsidP="00B97F0F">
            <w:pPr>
              <w:rPr>
                <w:sz w:val="20"/>
              </w:rPr>
            </w:pPr>
            <w:r w:rsidRPr="00931E31">
              <w:rPr>
                <w:sz w:val="20"/>
              </w:rPr>
              <w:t>Jesus feeds the people as the Israelites were fed by</w:t>
            </w:r>
            <w:r>
              <w:rPr>
                <w:sz w:val="20"/>
              </w:rPr>
              <w:t xml:space="preserve"> </w:t>
            </w:r>
            <w:r w:rsidRPr="00931E31">
              <w:rPr>
                <w:sz w:val="20"/>
              </w:rPr>
              <w:t>manna in the desert. Links with the Eucharist.</w:t>
            </w:r>
          </w:p>
        </w:tc>
      </w:tr>
      <w:tr w:rsidR="00C40604" w14:paraId="68FE75C1" w14:textId="77777777" w:rsidTr="00B97F0F">
        <w:trPr>
          <w:trHeight w:val="738"/>
        </w:trPr>
        <w:tc>
          <w:tcPr>
            <w:tcW w:w="247" w:type="dxa"/>
            <w:shd w:val="clear" w:color="auto" w:fill="E2EFD9" w:themeFill="accent6" w:themeFillTint="33"/>
          </w:tcPr>
          <w:p w14:paraId="32B5C935" w14:textId="39E8DBA1" w:rsidR="00C40604" w:rsidRDefault="00931E31" w:rsidP="00B97F0F">
            <w:r>
              <w:t>5.</w:t>
            </w:r>
          </w:p>
        </w:tc>
        <w:tc>
          <w:tcPr>
            <w:tcW w:w="1485" w:type="dxa"/>
            <w:shd w:val="clear" w:color="auto" w:fill="E2EFD9" w:themeFill="accent6" w:themeFillTint="33"/>
          </w:tcPr>
          <w:p w14:paraId="02F4BA25" w14:textId="2E05120B" w:rsidR="00C40604" w:rsidRPr="007464ED" w:rsidRDefault="00931E31" w:rsidP="00B97F0F">
            <w:pPr>
              <w:rPr>
                <w:b/>
                <w:sz w:val="20"/>
              </w:rPr>
            </w:pPr>
            <w:r w:rsidRPr="00931E31">
              <w:rPr>
                <w:b/>
                <w:sz w:val="20"/>
              </w:rPr>
              <w:t xml:space="preserve">Jesus walks on water </w:t>
            </w:r>
            <w:r>
              <w:rPr>
                <w:b/>
                <w:sz w:val="20"/>
              </w:rPr>
              <w:br/>
            </w:r>
            <w:r w:rsidRPr="00931E31">
              <w:rPr>
                <w:b/>
                <w:sz w:val="20"/>
              </w:rPr>
              <w:t>(Jn 6:16-24)</w:t>
            </w:r>
          </w:p>
        </w:tc>
        <w:tc>
          <w:tcPr>
            <w:tcW w:w="4116" w:type="dxa"/>
            <w:shd w:val="clear" w:color="auto" w:fill="E2EFD9" w:themeFill="accent6" w:themeFillTint="33"/>
          </w:tcPr>
          <w:p w14:paraId="0195C04A" w14:textId="44D778F2" w:rsidR="00C40604" w:rsidRPr="007464ED" w:rsidRDefault="00931E31" w:rsidP="00B97F0F">
            <w:pPr>
              <w:rPr>
                <w:sz w:val="20"/>
              </w:rPr>
            </w:pPr>
            <w:r w:rsidRPr="00931E31">
              <w:rPr>
                <w:sz w:val="20"/>
              </w:rPr>
              <w:t>Jesus is the new Moses; as Moses led the people across the</w:t>
            </w:r>
            <w:r>
              <w:rPr>
                <w:sz w:val="20"/>
              </w:rPr>
              <w:t xml:space="preserve"> </w:t>
            </w:r>
            <w:r w:rsidRPr="00931E31">
              <w:rPr>
                <w:sz w:val="20"/>
              </w:rPr>
              <w:t>Red Sea, Jesus leads the way to the Kingdom of God.</w:t>
            </w:r>
          </w:p>
        </w:tc>
      </w:tr>
      <w:tr w:rsidR="00A51A29" w14:paraId="4C13D972" w14:textId="77777777" w:rsidTr="00B97F0F">
        <w:trPr>
          <w:trHeight w:val="476"/>
        </w:trPr>
        <w:tc>
          <w:tcPr>
            <w:tcW w:w="247" w:type="dxa"/>
            <w:shd w:val="clear" w:color="auto" w:fill="C5E0B3" w:themeFill="accent6" w:themeFillTint="66"/>
          </w:tcPr>
          <w:p w14:paraId="04F857A9" w14:textId="0C23CD78" w:rsidR="00A51A29" w:rsidRDefault="00931E31" w:rsidP="00B97F0F">
            <w:r>
              <w:t>6.</w:t>
            </w:r>
          </w:p>
        </w:tc>
        <w:tc>
          <w:tcPr>
            <w:tcW w:w="1485" w:type="dxa"/>
            <w:shd w:val="clear" w:color="auto" w:fill="C5E0B3" w:themeFill="accent6" w:themeFillTint="66"/>
          </w:tcPr>
          <w:p w14:paraId="46479A01" w14:textId="24E90277" w:rsidR="00A51A29" w:rsidRPr="007464ED" w:rsidRDefault="00931E31" w:rsidP="00B97F0F">
            <w:pPr>
              <w:rPr>
                <w:b/>
                <w:sz w:val="20"/>
              </w:rPr>
            </w:pPr>
            <w:r w:rsidRPr="00931E31">
              <w:rPr>
                <w:b/>
                <w:sz w:val="20"/>
              </w:rPr>
              <w:t>Healing of the man born blind (Jn 9:1-7)</w:t>
            </w:r>
          </w:p>
        </w:tc>
        <w:tc>
          <w:tcPr>
            <w:tcW w:w="4116" w:type="dxa"/>
            <w:shd w:val="clear" w:color="auto" w:fill="C5E0B3" w:themeFill="accent6" w:themeFillTint="66"/>
          </w:tcPr>
          <w:p w14:paraId="43EBE743" w14:textId="23807FDA" w:rsidR="00A51A29" w:rsidRPr="007464ED" w:rsidRDefault="00931E31" w:rsidP="00B97F0F">
            <w:pPr>
              <w:rPr>
                <w:sz w:val="20"/>
              </w:rPr>
            </w:pPr>
            <w:r w:rsidRPr="00931E31">
              <w:rPr>
                <w:sz w:val="20"/>
              </w:rPr>
              <w:t>Links with healing the man at Bethesda. In this miracle,</w:t>
            </w:r>
            <w:r>
              <w:rPr>
                <w:sz w:val="20"/>
              </w:rPr>
              <w:t xml:space="preserve"> </w:t>
            </w:r>
            <w:r w:rsidRPr="00931E31">
              <w:rPr>
                <w:sz w:val="20"/>
              </w:rPr>
              <w:t>the man recognises Jesus, and he sees physically and spiritually experiencing conversion</w:t>
            </w:r>
            <w:r>
              <w:rPr>
                <w:sz w:val="20"/>
              </w:rPr>
              <w:t xml:space="preserve"> </w:t>
            </w:r>
            <w:r w:rsidRPr="00931E31">
              <w:rPr>
                <w:sz w:val="20"/>
              </w:rPr>
              <w:t>and healing.</w:t>
            </w:r>
          </w:p>
        </w:tc>
      </w:tr>
      <w:tr w:rsidR="00C40604" w14:paraId="0DAF36CF" w14:textId="77777777" w:rsidTr="00B97F0F">
        <w:trPr>
          <w:trHeight w:val="1943"/>
        </w:trPr>
        <w:tc>
          <w:tcPr>
            <w:tcW w:w="247" w:type="dxa"/>
            <w:shd w:val="clear" w:color="auto" w:fill="E2EFD9" w:themeFill="accent6" w:themeFillTint="33"/>
          </w:tcPr>
          <w:p w14:paraId="3089B7AB" w14:textId="2996CF4B" w:rsidR="00C40604" w:rsidRDefault="00931E31" w:rsidP="00B97F0F">
            <w:r>
              <w:t>7.</w:t>
            </w:r>
          </w:p>
        </w:tc>
        <w:tc>
          <w:tcPr>
            <w:tcW w:w="1485" w:type="dxa"/>
            <w:shd w:val="clear" w:color="auto" w:fill="E2EFD9" w:themeFill="accent6" w:themeFillTint="33"/>
          </w:tcPr>
          <w:p w14:paraId="2E57D903" w14:textId="606E5B5D" w:rsidR="00C40604" w:rsidRPr="007464ED" w:rsidRDefault="00931E31" w:rsidP="00B97F0F">
            <w:pPr>
              <w:rPr>
                <w:b/>
                <w:sz w:val="20"/>
              </w:rPr>
            </w:pPr>
            <w:r w:rsidRPr="00931E31">
              <w:rPr>
                <w:b/>
                <w:sz w:val="20"/>
              </w:rPr>
              <w:t xml:space="preserve">The raising of Lazarus </w:t>
            </w:r>
            <w:r>
              <w:rPr>
                <w:b/>
                <w:sz w:val="20"/>
              </w:rPr>
              <w:br/>
            </w:r>
            <w:r w:rsidRPr="00931E31">
              <w:rPr>
                <w:b/>
                <w:sz w:val="20"/>
              </w:rPr>
              <w:t>(Jn 11:1-45)</w:t>
            </w:r>
          </w:p>
        </w:tc>
        <w:tc>
          <w:tcPr>
            <w:tcW w:w="4116" w:type="dxa"/>
            <w:shd w:val="clear" w:color="auto" w:fill="E2EFD9" w:themeFill="accent6" w:themeFillTint="33"/>
          </w:tcPr>
          <w:p w14:paraId="7B2D2346" w14:textId="1BBE159E" w:rsidR="00C40604" w:rsidRPr="007464ED" w:rsidRDefault="00931E31" w:rsidP="00B97F0F">
            <w:pPr>
              <w:rPr>
                <w:sz w:val="20"/>
              </w:rPr>
            </w:pPr>
            <w:r w:rsidRPr="00931E31">
              <w:rPr>
                <w:sz w:val="20"/>
              </w:rPr>
              <w:t>Jesus is the way to eternal life. Martha, his sister, experiences</w:t>
            </w:r>
            <w:r>
              <w:rPr>
                <w:sz w:val="20"/>
              </w:rPr>
              <w:t xml:space="preserve"> </w:t>
            </w:r>
            <w:r w:rsidRPr="00931E31">
              <w:rPr>
                <w:sz w:val="20"/>
              </w:rPr>
              <w:t>conversion, recognising Jesus as ‘the Christ, the Son of God’, and then Jesus raises Lazarus</w:t>
            </w:r>
            <w:r>
              <w:rPr>
                <w:sz w:val="20"/>
              </w:rPr>
              <w:t xml:space="preserve"> </w:t>
            </w:r>
            <w:r w:rsidRPr="00931E31">
              <w:rPr>
                <w:sz w:val="20"/>
              </w:rPr>
              <w:t>from the dead. This miracle that prompts the authorities to act against Jesus and the events</w:t>
            </w:r>
            <w:r>
              <w:rPr>
                <w:sz w:val="20"/>
              </w:rPr>
              <w:t xml:space="preserve"> </w:t>
            </w:r>
            <w:r w:rsidRPr="00931E31">
              <w:rPr>
                <w:sz w:val="20"/>
              </w:rPr>
              <w:t>of Holy Week follow.</w:t>
            </w:r>
          </w:p>
        </w:tc>
      </w:tr>
    </w:tbl>
    <w:p w14:paraId="2075D2BC" w14:textId="4C02A0A0" w:rsidR="009C4F0D" w:rsidRDefault="00B97F0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86D67" wp14:editId="4F842ACE">
                <wp:simplePos x="0" y="0"/>
                <wp:positionH relativeFrom="column">
                  <wp:posOffset>6042660</wp:posOffset>
                </wp:positionH>
                <wp:positionV relativeFrom="paragraph">
                  <wp:posOffset>3175</wp:posOffset>
                </wp:positionV>
                <wp:extent cx="3810000" cy="332740"/>
                <wp:effectExtent l="0" t="0" r="19050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3327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E74430" w14:textId="2958F2F4" w:rsidR="0041592D" w:rsidRPr="00552765" w:rsidRDefault="00F017B4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The </w:t>
                            </w:r>
                            <w:r w:rsidR="006A4717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Seven Signs of St John’s Gospel</w:t>
                            </w:r>
                            <w:r w:rsidR="00931E31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(Hear)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86D6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5.8pt;margin-top:.25pt;width:300pt;height:2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" fillcolor="#92d050" strokeweight=".5pt">
                <v:textbox>
                  <w:txbxContent>
                    <w:p w14:paraId="1EE74430" w14:textId="2958F2F4" w:rsidR="0041592D" w:rsidRPr="00552765" w:rsidRDefault="00F017B4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The </w:t>
                      </w:r>
                      <w:r w:rsidR="006A4717">
                        <w:rPr>
                          <w:b/>
                          <w:color w:val="FFFFFF" w:themeColor="background1"/>
                          <w:sz w:val="32"/>
                        </w:rPr>
                        <w:t>Seven Signs of St John’s Gospel</w:t>
                      </w:r>
                      <w:r w:rsidR="00931E31">
                        <w:rPr>
                          <w:b/>
                          <w:color w:val="FFFFFF" w:themeColor="background1"/>
                          <w:sz w:val="32"/>
                        </w:rPr>
                        <w:t xml:space="preserve"> (Hear)</w:t>
                      </w:r>
                    </w:p>
                  </w:txbxContent>
                </v:textbox>
              </v:shape>
            </w:pict>
          </mc:Fallback>
        </mc:AlternateContent>
      </w:r>
      <w:r w:rsidR="000624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228CC" wp14:editId="1F400DAB">
                <wp:simplePos x="0" y="0"/>
                <wp:positionH relativeFrom="column">
                  <wp:posOffset>2966085</wp:posOffset>
                </wp:positionH>
                <wp:positionV relativeFrom="paragraph">
                  <wp:posOffset>-3175</wp:posOffset>
                </wp:positionV>
                <wp:extent cx="2952750" cy="3619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3619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29623D" w14:textId="2F82F230" w:rsidR="0041592D" w:rsidRPr="00552765" w:rsidRDefault="00A51A29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52765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The </w:t>
                            </w:r>
                            <w:r w:rsidR="00931E31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Sacraments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228CC" id="Text Box 2" o:spid="_x0000_s1027" type="#_x0000_t202" style="position:absolute;margin-left:233.55pt;margin-top:-.25pt;width:232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" fillcolor="#ffc000 [3207]" strokeweight=".5pt">
                <v:textbox>
                  <w:txbxContent>
                    <w:p w14:paraId="2429623D" w14:textId="2F82F230" w:rsidR="0041592D" w:rsidRPr="00552765" w:rsidRDefault="00A51A29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52765">
                        <w:rPr>
                          <w:b/>
                          <w:color w:val="FFFFFF" w:themeColor="background1"/>
                          <w:sz w:val="36"/>
                        </w:rPr>
                        <w:t xml:space="preserve">The </w:t>
                      </w:r>
                      <w:r w:rsidR="00931E31">
                        <w:rPr>
                          <w:b/>
                          <w:color w:val="FFFFFF" w:themeColor="background1"/>
                          <w:sz w:val="36"/>
                        </w:rPr>
                        <w:t>Sacraments</w:t>
                      </w:r>
                    </w:p>
                  </w:txbxContent>
                </v:textbox>
              </v:shape>
            </w:pict>
          </mc:Fallback>
        </mc:AlternateContent>
      </w:r>
      <w:r w:rsidR="007464E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A83E0" wp14:editId="25B51732">
                <wp:simplePos x="0" y="0"/>
                <wp:positionH relativeFrom="column">
                  <wp:posOffset>-171449</wp:posOffset>
                </wp:positionH>
                <wp:positionV relativeFrom="paragraph">
                  <wp:posOffset>1215</wp:posOffset>
                </wp:positionV>
                <wp:extent cx="3021358" cy="349250"/>
                <wp:effectExtent l="0" t="0" r="2667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358" cy="349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79E48" w14:textId="6BA9ECB2" w:rsidR="0041592D" w:rsidRPr="00552765" w:rsidRDefault="00062470" w:rsidP="0055276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Core </w:t>
                            </w:r>
                            <w:r w:rsidR="00B97F0F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ocabulary</w:t>
                            </w:r>
                            <w:r w:rsidR="00F017B4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EA83E0" id="Text Box 1" o:spid="_x0000_s1028" type="#_x0000_t202" style="position:absolute;margin-left:-13.5pt;margin-top:.1pt;width:237.9pt;height: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" fillcolor="#2e74b5 [2404]" strokeweight=".5pt">
                <v:textbox>
                  <w:txbxContent>
                    <w:p w14:paraId="74779E48" w14:textId="6BA9ECB2" w:rsidR="0041592D" w:rsidRPr="00552765" w:rsidRDefault="00062470" w:rsidP="00552765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Core </w:t>
                      </w:r>
                      <w:r w:rsidR="00B97F0F">
                        <w:rPr>
                          <w:b/>
                          <w:color w:val="FFFFFF" w:themeColor="background1"/>
                          <w:sz w:val="32"/>
                        </w:rPr>
                        <w:t>V</w:t>
                      </w: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ocabulary</w:t>
                      </w:r>
                      <w:r w:rsidR="00F017B4">
                        <w:rPr>
                          <w:b/>
                          <w:color w:val="FFFFFF" w:themeColor="background1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  <w:r w:rsidR="00A563E7">
        <w:tab/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3234"/>
      </w:tblGrid>
      <w:tr w:rsidR="004F02AF" w14:paraId="3042D341" w14:textId="77777777" w:rsidTr="00B97F0F">
        <w:trPr>
          <w:trHeight w:val="350"/>
        </w:trPr>
        <w:tc>
          <w:tcPr>
            <w:tcW w:w="426" w:type="dxa"/>
            <w:shd w:val="clear" w:color="auto" w:fill="DEEAF6" w:themeFill="accent1" w:themeFillTint="33"/>
          </w:tcPr>
          <w:p w14:paraId="632249D7" w14:textId="77777777" w:rsidR="00A51A29" w:rsidRDefault="00C40604">
            <w:r>
              <w:t>1.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14:paraId="3577AB40" w14:textId="2F420960" w:rsidR="00A51A29" w:rsidRPr="007464ED" w:rsidRDefault="000624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Cana</w:t>
            </w:r>
          </w:p>
        </w:tc>
        <w:tc>
          <w:tcPr>
            <w:tcW w:w="3234" w:type="dxa"/>
            <w:shd w:val="clear" w:color="auto" w:fill="DEEAF6" w:themeFill="accent1" w:themeFillTint="33"/>
          </w:tcPr>
          <w:p w14:paraId="4AF1908A" w14:textId="740D1DCB" w:rsidR="00A51A29" w:rsidRPr="007464ED" w:rsidRDefault="00062470">
            <w:pPr>
              <w:rPr>
                <w:sz w:val="20"/>
              </w:rPr>
            </w:pPr>
            <w:r>
              <w:rPr>
                <w:sz w:val="20"/>
              </w:rPr>
              <w:t>T</w:t>
            </w:r>
            <w:r w:rsidRPr="00062470">
              <w:rPr>
                <w:sz w:val="20"/>
              </w:rPr>
              <w:t xml:space="preserve">he place where the bible story The Wedding at Cana is set. This is in lower Galilee, North Israel. </w:t>
            </w:r>
          </w:p>
        </w:tc>
      </w:tr>
      <w:tr w:rsidR="002D3A06" w14:paraId="1DD6CFD0" w14:textId="77777777" w:rsidTr="00B97F0F">
        <w:trPr>
          <w:trHeight w:val="438"/>
        </w:trPr>
        <w:tc>
          <w:tcPr>
            <w:tcW w:w="426" w:type="dxa"/>
            <w:shd w:val="clear" w:color="auto" w:fill="BDD6EE" w:themeFill="accent1" w:themeFillTint="66"/>
          </w:tcPr>
          <w:p w14:paraId="0EAF2548" w14:textId="77777777" w:rsidR="00A51A29" w:rsidRDefault="002D3A06">
            <w:r>
              <w:t>2.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7035E543" w14:textId="261C7966" w:rsidR="00A51A29" w:rsidRPr="007464ED" w:rsidRDefault="000624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Bethesda</w:t>
            </w:r>
          </w:p>
        </w:tc>
        <w:tc>
          <w:tcPr>
            <w:tcW w:w="3234" w:type="dxa"/>
            <w:shd w:val="clear" w:color="auto" w:fill="BDD6EE" w:themeFill="accent1" w:themeFillTint="66"/>
          </w:tcPr>
          <w:p w14:paraId="5EA93EB0" w14:textId="17D75F25" w:rsidR="00A51A29" w:rsidRPr="007464ED" w:rsidRDefault="00B97F0F">
            <w:pPr>
              <w:rPr>
                <w:sz w:val="20"/>
              </w:rPr>
            </w:pPr>
            <w:r w:rsidRPr="00B97F0F">
              <w:rPr>
                <w:sz w:val="20"/>
              </w:rPr>
              <w:t>The Pool of Bethesda is referred to in John's Gospel in the New Testament, in an account of Jesus healing a man at a pool of water</w:t>
            </w:r>
            <w:r>
              <w:rPr>
                <w:sz w:val="20"/>
              </w:rPr>
              <w:t xml:space="preserve">. </w:t>
            </w:r>
          </w:p>
        </w:tc>
      </w:tr>
      <w:tr w:rsidR="007464ED" w14:paraId="72A3FA46" w14:textId="77777777" w:rsidTr="00B97F0F">
        <w:trPr>
          <w:trHeight w:val="438"/>
        </w:trPr>
        <w:tc>
          <w:tcPr>
            <w:tcW w:w="426" w:type="dxa"/>
            <w:shd w:val="clear" w:color="auto" w:fill="D9E2F3" w:themeFill="accent5" w:themeFillTint="33"/>
          </w:tcPr>
          <w:p w14:paraId="54EF2B4A" w14:textId="77777777" w:rsidR="007464ED" w:rsidRDefault="007464ED">
            <w:r>
              <w:t>3.</w:t>
            </w:r>
          </w:p>
        </w:tc>
        <w:tc>
          <w:tcPr>
            <w:tcW w:w="1134" w:type="dxa"/>
            <w:shd w:val="clear" w:color="auto" w:fill="D9E2F3" w:themeFill="accent5" w:themeFillTint="33"/>
          </w:tcPr>
          <w:p w14:paraId="765C8FB8" w14:textId="085F3A3D" w:rsidR="007464ED" w:rsidRPr="007464ED" w:rsidRDefault="000624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Lazarus</w:t>
            </w:r>
            <w:r w:rsidR="006748BB">
              <w:rPr>
                <w:b/>
                <w:sz w:val="20"/>
              </w:rPr>
              <w:t xml:space="preserve"> </w:t>
            </w:r>
          </w:p>
        </w:tc>
        <w:tc>
          <w:tcPr>
            <w:tcW w:w="3234" w:type="dxa"/>
            <w:shd w:val="clear" w:color="auto" w:fill="D9E2F3" w:themeFill="accent5" w:themeFillTint="33"/>
          </w:tcPr>
          <w:p w14:paraId="58027DE1" w14:textId="1AEAB200" w:rsidR="007464ED" w:rsidRPr="007464ED" w:rsidRDefault="00B97F0F">
            <w:pPr>
              <w:rPr>
                <w:sz w:val="20"/>
              </w:rPr>
            </w:pPr>
            <w:r>
              <w:rPr>
                <w:sz w:val="20"/>
              </w:rPr>
              <w:t>He w</w:t>
            </w:r>
            <w:r w:rsidR="00062470" w:rsidRPr="00062470">
              <w:rPr>
                <w:sz w:val="20"/>
              </w:rPr>
              <w:t xml:space="preserve">as brought back to life from the dead by Jesus. This demonstrates God’s glory and the power of the resurrection. </w:t>
            </w:r>
          </w:p>
        </w:tc>
      </w:tr>
    </w:tbl>
    <w:p w14:paraId="3886C2C3" w14:textId="136BA4C7" w:rsidR="00A563E7" w:rsidRDefault="001635C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95CBC8" wp14:editId="5420DF18">
                <wp:simplePos x="0" y="0"/>
                <wp:positionH relativeFrom="column">
                  <wp:posOffset>-180975</wp:posOffset>
                </wp:positionH>
                <wp:positionV relativeFrom="paragraph">
                  <wp:posOffset>208915</wp:posOffset>
                </wp:positionV>
                <wp:extent cx="3021358" cy="349250"/>
                <wp:effectExtent l="0" t="0" r="2667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1358" cy="349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1B216" w14:textId="1386A290" w:rsidR="001635C9" w:rsidRPr="00552765" w:rsidRDefault="00062470" w:rsidP="001635C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‘I am’ </w:t>
                            </w:r>
                            <w:proofErr w:type="gramStart"/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Statements</w:t>
                            </w:r>
                            <w:proofErr w:type="gramEnd"/>
                            <w:r w:rsidR="001635C9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95CBC8" id="Text Box 5" o:spid="_x0000_s1029" type="#_x0000_t202" style="position:absolute;margin-left:-14.25pt;margin-top:16.45pt;width:237.9pt;height:27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" fillcolor="red" strokeweight=".5pt">
                <v:textbox>
                  <w:txbxContent>
                    <w:p w14:paraId="4D71B216" w14:textId="1386A290" w:rsidR="001635C9" w:rsidRPr="00552765" w:rsidRDefault="00062470" w:rsidP="001635C9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 xml:space="preserve">‘I am’ </w:t>
                      </w:r>
                      <w:proofErr w:type="gramStart"/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Statements</w:t>
                      </w:r>
                      <w:proofErr w:type="gramEnd"/>
                      <w:r w:rsidR="001635C9">
                        <w:rPr>
                          <w:b/>
                          <w:color w:val="FFFFFF" w:themeColor="background1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E56E4EE" w14:textId="77777777" w:rsidR="00824AE5" w:rsidRDefault="00824AE5"/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809"/>
      </w:tblGrid>
      <w:tr w:rsidR="001635C9" w14:paraId="01FB71E0" w14:textId="77777777" w:rsidTr="00F10CA1">
        <w:trPr>
          <w:trHeight w:val="350"/>
        </w:trPr>
        <w:tc>
          <w:tcPr>
            <w:tcW w:w="426" w:type="dxa"/>
            <w:shd w:val="clear" w:color="auto" w:fill="FF0000"/>
          </w:tcPr>
          <w:p w14:paraId="38ED33AC" w14:textId="77777777" w:rsidR="001635C9" w:rsidRPr="008779FC" w:rsidRDefault="001635C9" w:rsidP="00F072A9">
            <w:pPr>
              <w:rPr>
                <w:color w:val="FFFFFF" w:themeColor="background1"/>
              </w:rPr>
            </w:pPr>
            <w:r w:rsidRPr="008779FC">
              <w:rPr>
                <w:color w:val="FFFFFF" w:themeColor="background1"/>
              </w:rPr>
              <w:t>1.</w:t>
            </w:r>
          </w:p>
        </w:tc>
        <w:tc>
          <w:tcPr>
            <w:tcW w:w="1559" w:type="dxa"/>
            <w:shd w:val="clear" w:color="auto" w:fill="FF0000"/>
          </w:tcPr>
          <w:p w14:paraId="133CDCCC" w14:textId="77777777" w:rsidR="00062470" w:rsidRDefault="00062470" w:rsidP="00F072A9">
            <w:pPr>
              <w:rPr>
                <w:b/>
                <w:color w:val="FFFFFF" w:themeColor="background1"/>
                <w:sz w:val="20"/>
              </w:rPr>
            </w:pPr>
            <w:r w:rsidRPr="00062470">
              <w:rPr>
                <w:b/>
                <w:color w:val="FFFFFF" w:themeColor="background1"/>
                <w:sz w:val="20"/>
              </w:rPr>
              <w:t xml:space="preserve">‘I am the Resurrection and the </w:t>
            </w:r>
            <w:proofErr w:type="gramStart"/>
            <w:r w:rsidRPr="00062470">
              <w:rPr>
                <w:b/>
                <w:color w:val="FFFFFF" w:themeColor="background1"/>
                <w:sz w:val="20"/>
              </w:rPr>
              <w:t>life’</w:t>
            </w:r>
            <w:proofErr w:type="gramEnd"/>
            <w:r w:rsidRPr="00062470">
              <w:rPr>
                <w:b/>
                <w:color w:val="FFFFFF" w:themeColor="background1"/>
                <w:sz w:val="20"/>
              </w:rPr>
              <w:t xml:space="preserve"> </w:t>
            </w:r>
          </w:p>
          <w:p w14:paraId="7EE40ED1" w14:textId="2F636595" w:rsidR="001635C9" w:rsidRPr="008779FC" w:rsidRDefault="00062470" w:rsidP="00F072A9">
            <w:pPr>
              <w:rPr>
                <w:b/>
                <w:color w:val="FFFFFF" w:themeColor="background1"/>
                <w:sz w:val="20"/>
              </w:rPr>
            </w:pPr>
            <w:r w:rsidRPr="00062470">
              <w:rPr>
                <w:b/>
                <w:color w:val="FFFFFF" w:themeColor="background1"/>
                <w:sz w:val="20"/>
              </w:rPr>
              <w:t>(Jn 11:25)</w:t>
            </w:r>
          </w:p>
        </w:tc>
        <w:tc>
          <w:tcPr>
            <w:tcW w:w="2809" w:type="dxa"/>
            <w:shd w:val="clear" w:color="auto" w:fill="FF0000"/>
          </w:tcPr>
          <w:p w14:paraId="0E19771E" w14:textId="206E2BA9" w:rsidR="001635C9" w:rsidRPr="008779FC" w:rsidRDefault="00824AE5" w:rsidP="00F072A9">
            <w:pPr>
              <w:rPr>
                <w:color w:val="FFFFFF" w:themeColor="background1"/>
                <w:sz w:val="20"/>
              </w:rPr>
            </w:pPr>
            <w:r>
              <w:rPr>
                <w:noProof/>
                <w:color w:val="FFFFFF" w:themeColor="background1"/>
                <w:sz w:val="20"/>
              </w:rPr>
              <w:drawing>
                <wp:inline distT="0" distB="0" distL="0" distR="0" wp14:anchorId="460CB0DA" wp14:editId="75826093">
                  <wp:extent cx="975254" cy="1219200"/>
                  <wp:effectExtent l="0" t="0" r="0" b="0"/>
                  <wp:docPr id="158270665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204" cy="12228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97F0F">
              <w:rPr>
                <w:color w:val="FFFFFF" w:themeColor="background1"/>
                <w:sz w:val="20"/>
              </w:rPr>
              <w:t xml:space="preserve"> Jen Norton</w:t>
            </w:r>
          </w:p>
        </w:tc>
      </w:tr>
      <w:tr w:rsidR="001635C9" w14:paraId="54BF2C82" w14:textId="77777777" w:rsidTr="00F10CA1">
        <w:trPr>
          <w:trHeight w:val="438"/>
        </w:trPr>
        <w:tc>
          <w:tcPr>
            <w:tcW w:w="426" w:type="dxa"/>
            <w:shd w:val="clear" w:color="auto" w:fill="C00000"/>
          </w:tcPr>
          <w:p w14:paraId="264C45CA" w14:textId="77777777" w:rsidR="001635C9" w:rsidRPr="008779FC" w:rsidRDefault="001635C9" w:rsidP="00F072A9">
            <w:pPr>
              <w:rPr>
                <w:color w:val="FFFFFF" w:themeColor="background1"/>
              </w:rPr>
            </w:pPr>
            <w:r w:rsidRPr="008779FC">
              <w:rPr>
                <w:color w:val="FFFFFF" w:themeColor="background1"/>
              </w:rPr>
              <w:t>2.</w:t>
            </w:r>
          </w:p>
        </w:tc>
        <w:tc>
          <w:tcPr>
            <w:tcW w:w="1559" w:type="dxa"/>
            <w:shd w:val="clear" w:color="auto" w:fill="C00000"/>
          </w:tcPr>
          <w:p w14:paraId="1C1DCB39" w14:textId="076C89FD" w:rsidR="001635C9" w:rsidRDefault="00062470" w:rsidP="00F072A9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 xml:space="preserve">‘I am the Bread of </w:t>
            </w:r>
            <w:proofErr w:type="gramStart"/>
            <w:r>
              <w:rPr>
                <w:b/>
                <w:color w:val="FFFFFF" w:themeColor="background1"/>
                <w:sz w:val="20"/>
              </w:rPr>
              <w:t>Life’</w:t>
            </w:r>
            <w:proofErr w:type="gramEnd"/>
          </w:p>
          <w:p w14:paraId="571E1EB1" w14:textId="3E0A17A2" w:rsidR="00062470" w:rsidRPr="008779FC" w:rsidRDefault="00062470" w:rsidP="00F072A9">
            <w:pPr>
              <w:rPr>
                <w:b/>
                <w:color w:val="FFFFFF" w:themeColor="background1"/>
                <w:sz w:val="20"/>
              </w:rPr>
            </w:pPr>
            <w:r>
              <w:rPr>
                <w:rFonts w:ascii="Poppins-Light" w:hAnsi="Poppins-Light" w:cs="Poppins-Light"/>
                <w:sz w:val="18"/>
                <w:szCs w:val="18"/>
              </w:rPr>
              <w:t>(Jn 6:35)</w:t>
            </w:r>
          </w:p>
        </w:tc>
        <w:tc>
          <w:tcPr>
            <w:tcW w:w="2809" w:type="dxa"/>
            <w:shd w:val="clear" w:color="auto" w:fill="C00000"/>
          </w:tcPr>
          <w:p w14:paraId="398C41A5" w14:textId="07238629" w:rsidR="001635C9" w:rsidRPr="008779FC" w:rsidRDefault="00062470" w:rsidP="00F072A9">
            <w:pPr>
              <w:rPr>
                <w:color w:val="FFFFFF" w:themeColor="background1"/>
                <w:sz w:val="20"/>
              </w:rPr>
            </w:pPr>
            <w:r>
              <w:rPr>
                <w:noProof/>
                <w:color w:val="FFFFFF" w:themeColor="background1"/>
                <w:sz w:val="20"/>
              </w:rPr>
              <w:drawing>
                <wp:inline distT="0" distB="0" distL="0" distR="0" wp14:anchorId="2578140E" wp14:editId="1C6AF67B">
                  <wp:extent cx="990600" cy="1238250"/>
                  <wp:effectExtent l="0" t="0" r="0" b="0"/>
                  <wp:docPr id="175508558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97F0F">
              <w:rPr>
                <w:color w:val="FFFFFF" w:themeColor="background1"/>
                <w:sz w:val="20"/>
              </w:rPr>
              <w:t xml:space="preserve"> Jen Norton</w:t>
            </w:r>
          </w:p>
        </w:tc>
      </w:tr>
    </w:tbl>
    <w:p w14:paraId="1A91EBA2" w14:textId="77777777" w:rsidR="001635C9" w:rsidRDefault="001635C9"/>
    <w:sectPr w:rsidR="001635C9" w:rsidSect="0041592D">
      <w:headerReference w:type="default" r:id="rId10"/>
      <w:footerReference w:type="default" r:id="rId11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2B8E1" w14:textId="77777777" w:rsidR="0041592D" w:rsidRDefault="0041592D" w:rsidP="0041592D">
      <w:pPr>
        <w:spacing w:after="0" w:line="240" w:lineRule="auto"/>
      </w:pPr>
      <w:r>
        <w:separator/>
      </w:r>
    </w:p>
  </w:endnote>
  <w:endnote w:type="continuationSeparator" w:id="0">
    <w:p w14:paraId="2B0FC956" w14:textId="77777777" w:rsidR="0041592D" w:rsidRDefault="0041592D" w:rsidP="0041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-Light">
    <w:altName w:val="Poppins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E574" w14:textId="792C0168" w:rsidR="006A4717" w:rsidRDefault="006A4717" w:rsidP="006A4717">
    <w:pPr>
      <w:pStyle w:val="Footer"/>
      <w:jc w:val="center"/>
    </w:pPr>
    <w:r w:rsidRPr="006A4717">
      <w:rPr>
        <w:b/>
        <w:bCs/>
      </w:rPr>
      <w:t>Big Question</w:t>
    </w:r>
    <w:r>
      <w:t xml:space="preserve"> - </w:t>
    </w:r>
    <w:r w:rsidRPr="006A4717">
      <w:t>Why are the Sacraments described as ‘meeting points where God himself is present</w:t>
    </w:r>
    <w:r>
      <w:t>?</w:t>
    </w:r>
    <w:r w:rsidRPr="006A4717">
      <w:t>’​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A099C" w14:textId="77777777" w:rsidR="0041592D" w:rsidRDefault="0041592D" w:rsidP="0041592D">
      <w:pPr>
        <w:spacing w:after="0" w:line="240" w:lineRule="auto"/>
      </w:pPr>
      <w:r>
        <w:separator/>
      </w:r>
    </w:p>
  </w:footnote>
  <w:footnote w:type="continuationSeparator" w:id="0">
    <w:p w14:paraId="64DBE721" w14:textId="77777777" w:rsidR="0041592D" w:rsidRDefault="0041592D" w:rsidP="0041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1828" w14:textId="19061B4D" w:rsidR="0041592D" w:rsidRPr="00B108F6" w:rsidRDefault="00F017B4">
    <w:pPr>
      <w:pStyle w:val="Header"/>
      <w:rPr>
        <w:b/>
        <w:sz w:val="32"/>
      </w:rPr>
    </w:pPr>
    <w:r>
      <w:rPr>
        <w:b/>
        <w:sz w:val="32"/>
      </w:rPr>
      <w:t>Galilee to Jerusalem</w:t>
    </w:r>
    <w:r w:rsidR="0041592D" w:rsidRPr="00B108F6">
      <w:rPr>
        <w:b/>
        <w:sz w:val="32"/>
      </w:rPr>
      <w:tab/>
    </w:r>
    <w:r w:rsidR="00552765" w:rsidRPr="00B108F6">
      <w:rPr>
        <w:b/>
        <w:sz w:val="32"/>
      </w:rPr>
      <w:t xml:space="preserve">                                                    </w:t>
    </w:r>
    <w:r w:rsidR="0041592D" w:rsidRPr="00B108F6">
      <w:rPr>
        <w:b/>
        <w:sz w:val="32"/>
      </w:rPr>
      <w:t xml:space="preserve">Year </w:t>
    </w:r>
    <w:r w:rsidR="006A4717">
      <w:rPr>
        <w:b/>
        <w:sz w:val="32"/>
      </w:rPr>
      <w:t>6</w:t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41592D" w:rsidRPr="00B108F6">
      <w:rPr>
        <w:b/>
        <w:sz w:val="32"/>
      </w:rPr>
      <w:tab/>
    </w:r>
    <w:r w:rsidR="00552765" w:rsidRPr="00B108F6">
      <w:rPr>
        <w:b/>
        <w:sz w:val="32"/>
      </w:rPr>
      <w:tab/>
    </w:r>
    <w:r w:rsidR="00552765" w:rsidRPr="00B108F6">
      <w:rPr>
        <w:b/>
        <w:sz w:val="32"/>
      </w:rPr>
      <w:tab/>
    </w:r>
    <w:r w:rsidR="00B108F6">
      <w:rPr>
        <w:b/>
        <w:sz w:val="32"/>
      </w:rPr>
      <w:t xml:space="preserve">   </w:t>
    </w:r>
    <w:r>
      <w:rPr>
        <w:b/>
        <w:sz w:val="32"/>
      </w:rPr>
      <w:t>Lent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92D"/>
    <w:rsid w:val="00062470"/>
    <w:rsid w:val="001635C9"/>
    <w:rsid w:val="001A5A29"/>
    <w:rsid w:val="00214009"/>
    <w:rsid w:val="002D3A06"/>
    <w:rsid w:val="003F67A0"/>
    <w:rsid w:val="0041592D"/>
    <w:rsid w:val="004F02AF"/>
    <w:rsid w:val="00552765"/>
    <w:rsid w:val="005C42E5"/>
    <w:rsid w:val="00640589"/>
    <w:rsid w:val="006748BB"/>
    <w:rsid w:val="006A4717"/>
    <w:rsid w:val="00711FA6"/>
    <w:rsid w:val="00721B12"/>
    <w:rsid w:val="007464ED"/>
    <w:rsid w:val="00824AE5"/>
    <w:rsid w:val="008779FC"/>
    <w:rsid w:val="008F65AA"/>
    <w:rsid w:val="00900B2C"/>
    <w:rsid w:val="00931E31"/>
    <w:rsid w:val="009C4F0D"/>
    <w:rsid w:val="009F164B"/>
    <w:rsid w:val="00A51A29"/>
    <w:rsid w:val="00A563E7"/>
    <w:rsid w:val="00B108F6"/>
    <w:rsid w:val="00B97F0F"/>
    <w:rsid w:val="00BE2310"/>
    <w:rsid w:val="00C40604"/>
    <w:rsid w:val="00C41250"/>
    <w:rsid w:val="00F017B4"/>
    <w:rsid w:val="00F10CA1"/>
    <w:rsid w:val="00F65281"/>
    <w:rsid w:val="00F6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3F43C2F5"/>
  <w15:chartTrackingRefBased/>
  <w15:docId w15:val="{F5091C76-0B67-4426-813B-F848A33B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92D"/>
  </w:style>
  <w:style w:type="paragraph" w:styleId="Footer">
    <w:name w:val="footer"/>
    <w:basedOn w:val="Normal"/>
    <w:link w:val="FooterChar"/>
    <w:uiPriority w:val="99"/>
    <w:unhideWhenUsed/>
    <w:rsid w:val="00415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CF93E6E31ED4E842472973AFECFF9" ma:contentTypeVersion="13" ma:contentTypeDescription="Create a new document." ma:contentTypeScope="" ma:versionID="0912b29d15b13cf976cfcc9c2c7301e9">
  <xsd:schema xmlns:xsd="http://www.w3.org/2001/XMLSchema" xmlns:xs="http://www.w3.org/2001/XMLSchema" xmlns:p="http://schemas.microsoft.com/office/2006/metadata/properties" xmlns:ns2="d9b46e45-f913-46bc-9756-737923f7e79d" xmlns:ns3="fca3a14b-3557-42cd-9fcf-af7247ca8484" targetNamespace="http://schemas.microsoft.com/office/2006/metadata/properties" ma:root="true" ma:fieldsID="0ebea0dd045c18c2291b22a46ddccbd4" ns2:_="" ns3:_="">
    <xsd:import namespace="d9b46e45-f913-46bc-9756-737923f7e79d"/>
    <xsd:import namespace="fca3a14b-3557-42cd-9fcf-af7247ca8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6e45-f913-46bc-9756-737923f7e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bb346c-0dae-4bed-b835-e1cba8e1b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a14b-3557-42cd-9fcf-af7247ca84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a03c9d-3ee8-486c-a8b9-b0598e3464d1}" ma:internalName="TaxCatchAll" ma:showField="CatchAllData" ma:web="fca3a14b-3557-42cd-9fcf-af7247ca8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3a14b-3557-42cd-9fcf-af7247ca8484" xsi:nil="true"/>
    <lcf76f155ced4ddcb4097134ff3c332f xmlns="d9b46e45-f913-46bc-9756-737923f7e7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3866AA-10CE-4940-8B1C-F0BFBB9F302E}"/>
</file>

<file path=customXml/itemProps2.xml><?xml version="1.0" encoding="utf-8"?>
<ds:datastoreItem xmlns:ds="http://schemas.openxmlformats.org/officeDocument/2006/customXml" ds:itemID="{9CE2D8D5-B5C3-4ECB-88C7-D7900CE60A1B}"/>
</file>

<file path=customXml/itemProps3.xml><?xml version="1.0" encoding="utf-8"?>
<ds:datastoreItem xmlns:ds="http://schemas.openxmlformats.org/officeDocument/2006/customXml" ds:itemID="{A6FF8057-EA82-48F2-B3F4-7787EBFABC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425</Words>
  <Characters>2014</Characters>
  <Application>Microsoft Office Word</Application>
  <DocSecurity>0</DocSecurity>
  <Lines>126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County Council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McNamara</dc:creator>
  <cp:keywords/>
  <dc:description/>
  <cp:lastModifiedBy>Tammie McNamara</cp:lastModifiedBy>
  <cp:revision>3</cp:revision>
  <dcterms:created xsi:type="dcterms:W3CDTF">2025-01-04T15:41:00Z</dcterms:created>
  <dcterms:modified xsi:type="dcterms:W3CDTF">2025-01-04T16:24:00Z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2062590b8a69bbbe3a7396c36aebb024894f4470aa615a67d28967d2ce5ab4e6</vt:lpwstr>
  </property>
  <property fmtid="{D5CDD505-2E9C-101B-9397-08002B2CF9AE}" pid="3" name="ContentTypeId">
    <vt:lpwstr>0x010100AA5CF93E6E31ED4E842472973AFECFF9</vt:lpwstr>
  </property>
</Properties>
</file>