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4  Medium Term Planning – Print making and textiles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Key stage 2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create sketch books to record their observations and use them to review and revisit ideas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about great artists, architects and designers in history.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you create printing to represent kente designs?</w:t>
            </w:r>
          </w:p>
        </w:tc>
        <w:tc>
          <w:tcPr/>
          <w:p w:rsidR="00000000" w:rsidDel="00000000" w:rsidP="00000000" w:rsidRDefault="00000000" w:rsidRPr="00000000" w14:paraId="00000018">
            <w:pPr>
              <w:rPr>
                <w:color w:val="ff0000"/>
                <w:sz w:val="20"/>
                <w:szCs w:val="20"/>
              </w:rPr>
            </w:pPr>
            <w:r w:rsidDel="00000000" w:rsidR="00000000" w:rsidRPr="00000000">
              <w:rPr>
                <w:sz w:val="20"/>
                <w:szCs w:val="20"/>
                <w:rtl w:val="0"/>
              </w:rPr>
              <w:t xml:space="preserve">How can you create printing to represent kente designs?</w:t>
            </w:r>
            <w:r w:rsidDel="00000000" w:rsidR="00000000" w:rsidRPr="00000000">
              <w:rPr>
                <w:rtl w:val="0"/>
              </w:rPr>
            </w:r>
          </w:p>
        </w:tc>
        <w:tc>
          <w:tcPr/>
          <w:p w:rsidR="00000000" w:rsidDel="00000000" w:rsidP="00000000" w:rsidRDefault="00000000" w:rsidRPr="00000000" w14:paraId="00000019">
            <w:pPr>
              <w:rPr>
                <w:color w:val="ff0000"/>
                <w:sz w:val="20"/>
                <w:szCs w:val="20"/>
              </w:rPr>
            </w:pPr>
            <w:r w:rsidDel="00000000" w:rsidR="00000000" w:rsidRPr="00000000">
              <w:rPr>
                <w:sz w:val="20"/>
                <w:szCs w:val="20"/>
                <w:rtl w:val="0"/>
              </w:rPr>
              <w:t xml:space="preserve">How can you create printing to represent kente designs?</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Use tie dye technique to create coloured designs on fabric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Learn and apply weaving techniques</w:t>
            </w:r>
          </w:p>
          <w:p w:rsidR="00000000" w:rsidDel="00000000" w:rsidP="00000000" w:rsidRDefault="00000000" w:rsidRPr="00000000" w14:paraId="0000001E">
            <w:pPr>
              <w:rPr>
                <w:color w:val="ff0000"/>
                <w:sz w:val="20"/>
                <w:szCs w:val="20"/>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Can draw and paint designs based on traditional kente cloth with accuracy </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Can apply pre-taught printing techniques to create repeat patterns containing geometric shapes</w:t>
            </w:r>
          </w:p>
          <w:p w:rsidR="00000000" w:rsidDel="00000000" w:rsidP="00000000" w:rsidRDefault="00000000" w:rsidRPr="00000000" w14:paraId="00000022">
            <w:pPr>
              <w:rPr>
                <w:sz w:val="20"/>
                <w:szCs w:val="20"/>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Combine printing and textiles to create a mixed media piece of artwork</w:t>
            </w:r>
          </w:p>
        </w:tc>
      </w:tr>
      <w:tr>
        <w:trPr>
          <w:cantSplit w:val="0"/>
          <w:trHeight w:val="1885"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the dip and dye technique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collage materials to create texture and colour</w:t>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Paint areas using controlled brushstrokes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Create repeated patterns by printing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Make a collagraph block</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Create repeat geometric patterns using printing techniques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 Learn and apply weaving techniques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tie dye technique to create coloured designs on fabric</w:t>
            </w:r>
          </w:p>
        </w:tc>
      </w:tr>
      <w:tr>
        <w:trPr>
          <w:cantSplit w:val="0"/>
          <w:trHeight w:val="1741" w:hRule="atLeast"/>
          <w:tblHeader w:val="0"/>
        </w:trPr>
        <w:tc>
          <w:tcPr/>
          <w:p w:rsidR="00000000" w:rsidDel="00000000" w:rsidP="00000000" w:rsidRDefault="00000000" w:rsidRPr="00000000" w14:paraId="0000002F">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3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1">
            <w:pPr>
              <w:rPr>
                <w:sz w:val="20"/>
                <w:szCs w:val="20"/>
              </w:rPr>
            </w:pPr>
            <w:r w:rsidDel="00000000" w:rsidR="00000000" w:rsidRPr="00000000">
              <w:rPr>
                <w:sz w:val="20"/>
                <w:szCs w:val="20"/>
                <w:rtl w:val="0"/>
              </w:rPr>
              <w:t xml:space="preserve">Select materials for use as weft and warp and comment on the effects achieved </w:t>
            </w:r>
          </w:p>
          <w:p w:rsidR="00000000" w:rsidDel="00000000" w:rsidP="00000000" w:rsidRDefault="00000000" w:rsidRPr="00000000" w14:paraId="00000032">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4">
            <w:pPr>
              <w:rPr>
                <w:sz w:val="20"/>
                <w:szCs w:val="20"/>
              </w:rPr>
            </w:pPr>
            <w:r w:rsidDel="00000000" w:rsidR="00000000" w:rsidRPr="00000000">
              <w:rPr>
                <w:sz w:val="20"/>
                <w:szCs w:val="20"/>
                <w:rtl w:val="0"/>
              </w:rPr>
              <w:t xml:space="preserve">Respond to the work of artists and crafts people </w:t>
            </w:r>
          </w:p>
          <w:p w:rsidR="00000000" w:rsidDel="00000000" w:rsidP="00000000" w:rsidRDefault="00000000" w:rsidRPr="00000000" w14:paraId="00000035">
            <w:pPr>
              <w:spacing w:after="160" w:line="259" w:lineRule="auto"/>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evaluate their own and others’ work, stating preferences and making suggestions for improvements </w:t>
            </w:r>
          </w:p>
        </w:tc>
      </w:tr>
      <w:tr>
        <w:trPr>
          <w:cantSplit w:val="0"/>
          <w:trHeight w:val="1741" w:hRule="atLeast"/>
          <w:tblHeader w:val="0"/>
        </w:trPr>
        <w:tc>
          <w:tcPr/>
          <w:p w:rsidR="00000000" w:rsidDel="00000000" w:rsidP="00000000" w:rsidRDefault="00000000" w:rsidRPr="00000000" w14:paraId="00000038">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3">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8">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9">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4A">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4B">
            <w:pPr>
              <w:rPr>
                <w:color w:val="ff0000"/>
                <w:sz w:val="20"/>
                <w:szCs w:val="20"/>
              </w:rPr>
            </w:pPr>
            <w:r w:rsidDel="00000000" w:rsidR="00000000" w:rsidRPr="00000000">
              <w:rPr>
                <w:rtl w:val="0"/>
              </w:rPr>
            </w:r>
          </w:p>
        </w:tc>
        <w:tc>
          <w:tcPr/>
          <w:p w:rsidR="00000000" w:rsidDel="00000000" w:rsidP="00000000" w:rsidRDefault="00000000" w:rsidRPr="00000000" w14:paraId="0000004C">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4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4E">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F">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0">
            <w:pPr>
              <w:rPr>
                <w:sz w:val="20"/>
                <w:szCs w:val="20"/>
              </w:rPr>
            </w:pPr>
            <w:r w:rsidDel="00000000" w:rsidR="00000000" w:rsidRPr="00000000">
              <w:rPr>
                <w:sz w:val="20"/>
                <w:szCs w:val="20"/>
                <w:rtl w:val="0"/>
              </w:rPr>
              <w:t xml:space="preserve">Kente cloth</w:t>
            </w:r>
          </w:p>
          <w:p w:rsidR="00000000" w:rsidDel="00000000" w:rsidP="00000000" w:rsidRDefault="00000000" w:rsidRPr="00000000" w14:paraId="00000051">
            <w:pPr>
              <w:rPr>
                <w:sz w:val="20"/>
                <w:szCs w:val="20"/>
              </w:rPr>
            </w:pPr>
            <w:r w:rsidDel="00000000" w:rsidR="00000000" w:rsidRPr="00000000">
              <w:rPr>
                <w:sz w:val="20"/>
                <w:szCs w:val="20"/>
                <w:rtl w:val="0"/>
              </w:rPr>
              <w:t xml:space="preserve">Geometric designs</w:t>
            </w:r>
          </w:p>
          <w:p w:rsidR="00000000" w:rsidDel="00000000" w:rsidP="00000000" w:rsidRDefault="00000000" w:rsidRPr="00000000" w14:paraId="00000052">
            <w:pPr>
              <w:rPr>
                <w:sz w:val="20"/>
                <w:szCs w:val="20"/>
              </w:rPr>
            </w:pPr>
            <w:r w:rsidDel="00000000" w:rsidR="00000000" w:rsidRPr="00000000">
              <w:rPr>
                <w:sz w:val="20"/>
                <w:szCs w:val="20"/>
                <w:rtl w:val="0"/>
              </w:rPr>
              <w:t xml:space="preserve">Symbolise</w:t>
            </w:r>
          </w:p>
          <w:p w:rsidR="00000000" w:rsidDel="00000000" w:rsidP="00000000" w:rsidRDefault="00000000" w:rsidRPr="00000000" w14:paraId="00000053">
            <w:pPr>
              <w:rPr>
                <w:sz w:val="20"/>
                <w:szCs w:val="20"/>
              </w:rPr>
            </w:pPr>
            <w:r w:rsidDel="00000000" w:rsidR="00000000" w:rsidRPr="00000000">
              <w:rPr>
                <w:sz w:val="20"/>
                <w:szCs w:val="20"/>
                <w:rtl w:val="0"/>
              </w:rPr>
              <w:t xml:space="preserve">Weft</w:t>
            </w:r>
          </w:p>
          <w:p w:rsidR="00000000" w:rsidDel="00000000" w:rsidP="00000000" w:rsidRDefault="00000000" w:rsidRPr="00000000" w14:paraId="00000054">
            <w:pPr>
              <w:rPr>
                <w:sz w:val="20"/>
                <w:szCs w:val="20"/>
              </w:rPr>
            </w:pPr>
            <w:r w:rsidDel="00000000" w:rsidR="00000000" w:rsidRPr="00000000">
              <w:rPr>
                <w:sz w:val="20"/>
                <w:szCs w:val="20"/>
                <w:rtl w:val="0"/>
              </w:rPr>
              <w:t xml:space="preserve">Warp</w:t>
            </w:r>
          </w:p>
          <w:p w:rsidR="00000000" w:rsidDel="00000000" w:rsidP="00000000" w:rsidRDefault="00000000" w:rsidRPr="00000000" w14:paraId="00000055">
            <w:pPr>
              <w:rPr>
                <w:rFonts w:ascii="Comic Sans MS" w:cs="Comic Sans MS" w:eastAsia="Comic Sans MS" w:hAnsi="Comic Sans MS"/>
                <w:color w:val="ff0000"/>
                <w:sz w:val="18"/>
                <w:szCs w:val="18"/>
              </w:rPr>
            </w:pPr>
            <w:r w:rsidDel="00000000" w:rsidR="00000000" w:rsidRPr="00000000">
              <w:rPr>
                <w:sz w:val="20"/>
                <w:szCs w:val="20"/>
                <w:rtl w:val="0"/>
              </w:rPr>
              <w:t xml:space="preserve">Tie Dye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sz w:val="20"/>
                <w:szCs w:val="20"/>
              </w:rPr>
            </w:pPr>
            <w:r w:rsidDel="00000000" w:rsidR="00000000" w:rsidRPr="00000000">
              <w:rPr>
                <w:sz w:val="20"/>
                <w:szCs w:val="20"/>
                <w:rtl w:val="0"/>
              </w:rPr>
              <w:t xml:space="preserve">Kente cloth</w:t>
            </w:r>
          </w:p>
          <w:p w:rsidR="00000000" w:rsidDel="00000000" w:rsidP="00000000" w:rsidRDefault="00000000" w:rsidRPr="00000000" w14:paraId="00000057">
            <w:pPr>
              <w:rPr>
                <w:sz w:val="20"/>
                <w:szCs w:val="20"/>
              </w:rPr>
            </w:pPr>
            <w:r w:rsidDel="00000000" w:rsidR="00000000" w:rsidRPr="00000000">
              <w:rPr>
                <w:sz w:val="20"/>
                <w:szCs w:val="20"/>
                <w:rtl w:val="0"/>
              </w:rPr>
              <w:t xml:space="preserve">Geometric designs</w:t>
            </w:r>
          </w:p>
          <w:p w:rsidR="00000000" w:rsidDel="00000000" w:rsidP="00000000" w:rsidRDefault="00000000" w:rsidRPr="00000000" w14:paraId="00000058">
            <w:pPr>
              <w:rPr>
                <w:sz w:val="20"/>
                <w:szCs w:val="20"/>
              </w:rPr>
            </w:pPr>
            <w:r w:rsidDel="00000000" w:rsidR="00000000" w:rsidRPr="00000000">
              <w:rPr>
                <w:sz w:val="20"/>
                <w:szCs w:val="20"/>
                <w:rtl w:val="0"/>
              </w:rPr>
              <w:t xml:space="preserve">Symbolise</w:t>
            </w:r>
          </w:p>
          <w:p w:rsidR="00000000" w:rsidDel="00000000" w:rsidP="00000000" w:rsidRDefault="00000000" w:rsidRPr="00000000" w14:paraId="00000059">
            <w:pPr>
              <w:rPr>
                <w:sz w:val="20"/>
                <w:szCs w:val="20"/>
              </w:rPr>
            </w:pPr>
            <w:r w:rsidDel="00000000" w:rsidR="00000000" w:rsidRPr="00000000">
              <w:rPr>
                <w:sz w:val="20"/>
                <w:szCs w:val="20"/>
                <w:rtl w:val="0"/>
              </w:rPr>
              <w:t xml:space="preserve">Weft</w:t>
            </w:r>
          </w:p>
          <w:p w:rsidR="00000000" w:rsidDel="00000000" w:rsidP="00000000" w:rsidRDefault="00000000" w:rsidRPr="00000000" w14:paraId="0000005A">
            <w:pPr>
              <w:rPr>
                <w:sz w:val="20"/>
                <w:szCs w:val="20"/>
              </w:rPr>
            </w:pPr>
            <w:r w:rsidDel="00000000" w:rsidR="00000000" w:rsidRPr="00000000">
              <w:rPr>
                <w:sz w:val="20"/>
                <w:szCs w:val="20"/>
                <w:rtl w:val="0"/>
              </w:rPr>
              <w:t xml:space="preserve">Warp</w:t>
            </w:r>
          </w:p>
          <w:p w:rsidR="00000000" w:rsidDel="00000000" w:rsidP="00000000" w:rsidRDefault="00000000" w:rsidRPr="00000000" w14:paraId="0000005B">
            <w:pPr>
              <w:rPr>
                <w:color w:val="ff0000"/>
                <w:sz w:val="20"/>
                <w:szCs w:val="20"/>
              </w:rPr>
            </w:pPr>
            <w:r w:rsidDel="00000000" w:rsidR="00000000" w:rsidRPr="00000000">
              <w:rPr>
                <w:sz w:val="20"/>
                <w:szCs w:val="20"/>
                <w:rtl w:val="0"/>
              </w:rPr>
              <w:t xml:space="preserve">Tie Dye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sz w:val="20"/>
                <w:szCs w:val="20"/>
              </w:rPr>
            </w:pPr>
            <w:r w:rsidDel="00000000" w:rsidR="00000000" w:rsidRPr="00000000">
              <w:rPr>
                <w:sz w:val="20"/>
                <w:szCs w:val="20"/>
                <w:rtl w:val="0"/>
              </w:rPr>
              <w:t xml:space="preserve">Kente cloth</w:t>
            </w:r>
          </w:p>
          <w:p w:rsidR="00000000" w:rsidDel="00000000" w:rsidP="00000000" w:rsidRDefault="00000000" w:rsidRPr="00000000" w14:paraId="0000005D">
            <w:pPr>
              <w:rPr>
                <w:sz w:val="20"/>
                <w:szCs w:val="20"/>
              </w:rPr>
            </w:pPr>
            <w:r w:rsidDel="00000000" w:rsidR="00000000" w:rsidRPr="00000000">
              <w:rPr>
                <w:sz w:val="20"/>
                <w:szCs w:val="20"/>
                <w:rtl w:val="0"/>
              </w:rPr>
              <w:t xml:space="preserve">Geometric designs</w:t>
            </w:r>
          </w:p>
          <w:p w:rsidR="00000000" w:rsidDel="00000000" w:rsidP="00000000" w:rsidRDefault="00000000" w:rsidRPr="00000000" w14:paraId="0000005E">
            <w:pPr>
              <w:rPr>
                <w:sz w:val="20"/>
                <w:szCs w:val="20"/>
              </w:rPr>
            </w:pPr>
            <w:r w:rsidDel="00000000" w:rsidR="00000000" w:rsidRPr="00000000">
              <w:rPr>
                <w:sz w:val="20"/>
                <w:szCs w:val="20"/>
                <w:rtl w:val="0"/>
              </w:rPr>
              <w:t xml:space="preserve">Symbolise</w:t>
            </w:r>
          </w:p>
          <w:p w:rsidR="00000000" w:rsidDel="00000000" w:rsidP="00000000" w:rsidRDefault="00000000" w:rsidRPr="00000000" w14:paraId="0000005F">
            <w:pPr>
              <w:rPr>
                <w:sz w:val="20"/>
                <w:szCs w:val="20"/>
              </w:rPr>
            </w:pPr>
            <w:r w:rsidDel="00000000" w:rsidR="00000000" w:rsidRPr="00000000">
              <w:rPr>
                <w:sz w:val="20"/>
                <w:szCs w:val="20"/>
                <w:rtl w:val="0"/>
              </w:rPr>
              <w:t xml:space="preserve">Weft</w:t>
            </w:r>
          </w:p>
          <w:p w:rsidR="00000000" w:rsidDel="00000000" w:rsidP="00000000" w:rsidRDefault="00000000" w:rsidRPr="00000000" w14:paraId="00000060">
            <w:pPr>
              <w:rPr>
                <w:sz w:val="20"/>
                <w:szCs w:val="20"/>
              </w:rPr>
            </w:pPr>
            <w:r w:rsidDel="00000000" w:rsidR="00000000" w:rsidRPr="00000000">
              <w:rPr>
                <w:sz w:val="20"/>
                <w:szCs w:val="20"/>
                <w:rtl w:val="0"/>
              </w:rPr>
              <w:t xml:space="preserve">Warp</w:t>
            </w:r>
          </w:p>
          <w:p w:rsidR="00000000" w:rsidDel="00000000" w:rsidP="00000000" w:rsidRDefault="00000000" w:rsidRPr="00000000" w14:paraId="00000061">
            <w:pPr>
              <w:rPr>
                <w:color w:val="ff0000"/>
                <w:sz w:val="20"/>
                <w:szCs w:val="20"/>
              </w:rPr>
            </w:pPr>
            <w:r w:rsidDel="00000000" w:rsidR="00000000" w:rsidRPr="00000000">
              <w:rPr>
                <w:sz w:val="20"/>
                <w:szCs w:val="20"/>
                <w:rtl w:val="0"/>
              </w:rPr>
              <w:t xml:space="preserve">Tie Dye</w:t>
            </w:r>
            <w:r w:rsidDel="00000000" w:rsidR="00000000" w:rsidRPr="00000000">
              <w:rPr>
                <w:rtl w:val="0"/>
              </w:rPr>
            </w:r>
          </w:p>
        </w:tc>
      </w:tr>
    </w:tbl>
    <w:p w:rsidR="00000000" w:rsidDel="00000000" w:rsidP="00000000" w:rsidRDefault="00000000" w:rsidRPr="00000000" w14:paraId="00000062">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355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5583"/>
  </w:style>
  <w:style w:type="paragraph" w:styleId="Footer">
    <w:name w:val="footer"/>
    <w:basedOn w:val="Normal"/>
    <w:link w:val="FooterChar"/>
    <w:uiPriority w:val="99"/>
    <w:unhideWhenUsed w:val="1"/>
    <w:rsid w:val="00F355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558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WOQbD+K6xU3Od/mtvdAKLOTWQ==">CgMxLjA4AHIhMWZoMGFwSS1zR0QtUUhBYUFtUkNPV3Y0VlZuSzByQV9x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2024-10-12T22:12:00Z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