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4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4315"/>
        <w:gridCol w:w="4315"/>
        <w:gridCol w:w="4315"/>
        <w:tblGridChange w:id="0">
          <w:tblGrid>
            <w:gridCol w:w="1560"/>
            <w:gridCol w:w="4315"/>
            <w:gridCol w:w="4315"/>
            <w:gridCol w:w="4315"/>
          </w:tblGrid>
        </w:tblGridChange>
      </w:tblGrid>
      <w:tr>
        <w:trPr>
          <w:cantSplit w:val="0"/>
          <w:trHeight w:val="689" w:hRule="atLeast"/>
          <w:tblHeader w:val="0"/>
        </w:trPr>
        <w:tc>
          <w:tcPr>
            <w:gridSpan w:val="4"/>
            <w:shd w:fill="c5e0b3" w:val="clear"/>
          </w:tcPr>
          <w:p w:rsidR="00000000" w:rsidDel="00000000" w:rsidP="00000000" w:rsidRDefault="00000000" w:rsidRPr="00000000" w14:paraId="00000002">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DT Year 2 Structures Block F</w:t>
            </w:r>
          </w:p>
        </w:tc>
      </w:tr>
      <w:tr>
        <w:trPr>
          <w:cantSplit w:val="0"/>
          <w:trHeight w:val="274" w:hRule="atLeast"/>
          <w:tblHeader w:val="0"/>
        </w:trPr>
        <w:tc>
          <w:tcPr>
            <w:gridSpan w:val="4"/>
            <w:shd w:fill="c5e0b3" w:val="clear"/>
          </w:tcPr>
          <w:p w:rsidR="00000000" w:rsidDel="00000000" w:rsidP="00000000" w:rsidRDefault="00000000" w:rsidRPr="00000000" w14:paraId="00000007">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National Curriculum</w:t>
            </w:r>
          </w:p>
          <w:p w:rsidR="00000000" w:rsidDel="00000000" w:rsidP="00000000" w:rsidRDefault="00000000" w:rsidRPr="00000000" w14:paraId="00000008">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Stage 2</w:t>
            </w:r>
          </w:p>
          <w:p w:rsidR="00000000" w:rsidDel="00000000" w:rsidP="00000000" w:rsidRDefault="00000000" w:rsidRPr="00000000" w14:paraId="0000000A">
            <w:pP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B">
            <w:pPr>
              <w:numPr>
                <w:ilvl w:val="0"/>
                <w:numId w:val="1"/>
              </w:numPr>
              <w:spacing w:after="160" w:line="259" w:lineRule="auto"/>
              <w:ind w:left="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Design</w:t>
            </w:r>
            <w:r w:rsidDel="00000000" w:rsidR="00000000" w:rsidRPr="00000000">
              <w:rPr>
                <w:rFonts w:ascii="Comic Sans MS" w:cs="Comic Sans MS" w:eastAsia="Comic Sans MS" w:hAnsi="Comic Sans MS"/>
                <w:sz w:val="20"/>
                <w:szCs w:val="20"/>
                <w:rtl w:val="0"/>
              </w:rPr>
              <w:t xml:space="preserve">  Design purposeful, functional, appealing products for themselves and other users based on design criteria  generate, develop, model and communicate their ideas through talking, drawing, templates, mock-ups and, where appropriate, information and communication technology.</w:t>
            </w:r>
          </w:p>
          <w:p w:rsidR="00000000" w:rsidDel="00000000" w:rsidP="00000000" w:rsidRDefault="00000000" w:rsidRPr="00000000" w14:paraId="0000000C">
            <w:pPr>
              <w:numPr>
                <w:ilvl w:val="0"/>
                <w:numId w:val="1"/>
              </w:numPr>
              <w:spacing w:after="160" w:line="259" w:lineRule="auto"/>
              <w:ind w:left="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Make </w:t>
            </w:r>
            <w:r w:rsidDel="00000000" w:rsidR="00000000" w:rsidRPr="00000000">
              <w:rPr>
                <w:rFonts w:ascii="Comic Sans MS" w:cs="Comic Sans MS" w:eastAsia="Comic Sans MS" w:hAnsi="Comic Sans MS"/>
                <w:sz w:val="20"/>
                <w:szCs w:val="20"/>
                <w:rtl w:val="0"/>
              </w:rPr>
              <w:t xml:space="preserve"> Select from and use a range of tools and equipment to perform practical tasks [for example, cutting, shaping, joining and finishing]  select from and use a wide range of materials and components, including construction materials, textiles and ingredients, according to their characteristics.</w:t>
            </w:r>
          </w:p>
          <w:p w:rsidR="00000000" w:rsidDel="00000000" w:rsidP="00000000" w:rsidRDefault="00000000" w:rsidRPr="00000000" w14:paraId="0000000D">
            <w:pPr>
              <w:numPr>
                <w:ilvl w:val="0"/>
                <w:numId w:val="1"/>
              </w:numPr>
              <w:spacing w:after="160" w:line="259" w:lineRule="auto"/>
              <w:ind w:left="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Evaluate</w:t>
            </w:r>
            <w:r w:rsidDel="00000000" w:rsidR="00000000" w:rsidRPr="00000000">
              <w:rPr>
                <w:rFonts w:ascii="Comic Sans MS" w:cs="Comic Sans MS" w:eastAsia="Comic Sans MS" w:hAnsi="Comic Sans MS"/>
                <w:sz w:val="20"/>
                <w:szCs w:val="20"/>
                <w:rtl w:val="0"/>
              </w:rPr>
              <w:t xml:space="preserve">  Explore and evaluate a range of existing products  evaluate their ideas and products against design criteria Technical knowledge  build structures, exploring how they can be made stronger, stiffer and more stable  explore and use mechanisms [for example, levers, sliders, wheels and axles], in their products.</w:t>
            </w:r>
          </w:p>
          <w:p w:rsidR="00000000" w:rsidDel="00000000" w:rsidP="00000000" w:rsidRDefault="00000000" w:rsidRPr="00000000" w14:paraId="0000000E">
            <w:pPr>
              <w:numPr>
                <w:ilvl w:val="0"/>
                <w:numId w:val="1"/>
              </w:numPr>
              <w:spacing w:after="160" w:line="259" w:lineRule="auto"/>
              <w:ind w:left="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Technical knowledge</w:t>
            </w:r>
            <w:r w:rsidDel="00000000" w:rsidR="00000000" w:rsidRPr="00000000">
              <w:rPr>
                <w:rFonts w:ascii="Comic Sans MS" w:cs="Comic Sans MS" w:eastAsia="Comic Sans MS" w:hAnsi="Comic Sans MS"/>
                <w:sz w:val="20"/>
                <w:szCs w:val="20"/>
                <w:rtl w:val="0"/>
              </w:rPr>
              <w:t xml:space="preserve">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w:t>
            </w:r>
          </w:p>
        </w:tc>
      </w:tr>
      <w:tr>
        <w:trPr>
          <w:cantSplit w:val="0"/>
          <w:trHeight w:val="279" w:hRule="atLeast"/>
          <w:tblHeader w:val="0"/>
        </w:trPr>
        <w:tc>
          <w:tcPr>
            <w:shd w:fill="f7cbac" w:val="clear"/>
          </w:tcPr>
          <w:p w:rsidR="00000000" w:rsidDel="00000000" w:rsidP="00000000" w:rsidRDefault="00000000" w:rsidRPr="00000000" w14:paraId="00000012">
            <w:pPr>
              <w:rPr>
                <w:rFonts w:ascii="Comic Sans MS" w:cs="Comic Sans MS" w:eastAsia="Comic Sans MS" w:hAnsi="Comic Sans MS"/>
                <w:sz w:val="20"/>
                <w:szCs w:val="20"/>
              </w:rPr>
            </w:pPr>
            <w:r w:rsidDel="00000000" w:rsidR="00000000" w:rsidRPr="00000000">
              <w:rPr>
                <w:rtl w:val="0"/>
              </w:rPr>
            </w:r>
          </w:p>
        </w:tc>
        <w:tc>
          <w:tcPr>
            <w:shd w:fill="f7cbac" w:val="clear"/>
          </w:tcPr>
          <w:p w:rsidR="00000000" w:rsidDel="00000000" w:rsidP="00000000" w:rsidRDefault="00000000" w:rsidRPr="00000000" w14:paraId="0000001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1</w:t>
            </w:r>
          </w:p>
        </w:tc>
        <w:tc>
          <w:tcPr>
            <w:shd w:fill="f7cbac" w:val="clear"/>
          </w:tcPr>
          <w:p w:rsidR="00000000" w:rsidDel="00000000" w:rsidP="00000000" w:rsidRDefault="00000000" w:rsidRPr="00000000" w14:paraId="0000001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2</w:t>
            </w:r>
          </w:p>
        </w:tc>
        <w:tc>
          <w:tcPr>
            <w:shd w:fill="f7cbac" w:val="clear"/>
          </w:tcPr>
          <w:p w:rsidR="00000000" w:rsidDel="00000000" w:rsidP="00000000" w:rsidRDefault="00000000" w:rsidRPr="00000000" w14:paraId="0000001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3</w:t>
            </w:r>
          </w:p>
        </w:tc>
      </w:tr>
      <w:tr>
        <w:trPr>
          <w:cantSplit w:val="0"/>
          <w:trHeight w:val="784" w:hRule="atLeast"/>
          <w:tblHeader w:val="0"/>
        </w:trPr>
        <w:tc>
          <w:tcPr/>
          <w:p w:rsidR="00000000" w:rsidDel="00000000" w:rsidP="00000000" w:rsidRDefault="00000000" w:rsidRPr="00000000" w14:paraId="00000016">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Learning intention</w:t>
            </w:r>
          </w:p>
        </w:tc>
        <w:tc>
          <w:tcPr/>
          <w:p w:rsidR="00000000" w:rsidDel="00000000" w:rsidP="00000000" w:rsidRDefault="00000000" w:rsidRPr="00000000" w14:paraId="00000017">
            <w:pPr>
              <w:rPr>
                <w:sz w:val="20"/>
                <w:szCs w:val="20"/>
              </w:rPr>
            </w:pPr>
            <w:r w:rsidDel="00000000" w:rsidR="00000000" w:rsidRPr="00000000">
              <w:rPr>
                <w:sz w:val="20"/>
                <w:szCs w:val="20"/>
                <w:rtl w:val="0"/>
              </w:rPr>
              <w:t xml:space="preserve">How strong is a piece of paper?</w:t>
            </w:r>
          </w:p>
        </w:tc>
        <w:tc>
          <w:tcPr/>
          <w:p w:rsidR="00000000" w:rsidDel="00000000" w:rsidP="00000000" w:rsidRDefault="00000000" w:rsidRPr="00000000" w14:paraId="00000018">
            <w:pPr>
              <w:rPr>
                <w:color w:val="ff0000"/>
                <w:sz w:val="20"/>
                <w:szCs w:val="20"/>
              </w:rPr>
            </w:pPr>
            <w:r w:rsidDel="00000000" w:rsidR="00000000" w:rsidRPr="00000000">
              <w:rPr>
                <w:sz w:val="20"/>
                <w:szCs w:val="20"/>
                <w:rtl w:val="0"/>
              </w:rPr>
              <w:t xml:space="preserve">How strong is a piece of paper?</w:t>
            </w:r>
            <w:r w:rsidDel="00000000" w:rsidR="00000000" w:rsidRPr="00000000">
              <w:rPr>
                <w:rtl w:val="0"/>
              </w:rPr>
            </w:r>
          </w:p>
        </w:tc>
        <w:tc>
          <w:tcPr/>
          <w:p w:rsidR="00000000" w:rsidDel="00000000" w:rsidP="00000000" w:rsidRDefault="00000000" w:rsidRPr="00000000" w14:paraId="00000019">
            <w:pPr>
              <w:rPr>
                <w:color w:val="ff0000"/>
                <w:sz w:val="20"/>
                <w:szCs w:val="20"/>
              </w:rPr>
            </w:pPr>
            <w:r w:rsidDel="00000000" w:rsidR="00000000" w:rsidRPr="00000000">
              <w:rPr>
                <w:sz w:val="20"/>
                <w:szCs w:val="20"/>
                <w:rtl w:val="0"/>
              </w:rPr>
              <w:t xml:space="preserve">How strong is a piece of paper?</w:t>
            </w: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01A">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Skills taught</w:t>
            </w:r>
          </w:p>
        </w:tc>
        <w:tc>
          <w:tcPr/>
          <w:p w:rsidR="00000000" w:rsidDel="00000000" w:rsidP="00000000" w:rsidRDefault="00000000" w:rsidRPr="00000000" w14:paraId="0000001B">
            <w:pPr>
              <w:rPr>
                <w:sz w:val="20"/>
                <w:szCs w:val="20"/>
              </w:rPr>
            </w:pPr>
            <w:r w:rsidDel="00000000" w:rsidR="00000000" w:rsidRPr="00000000">
              <w:rPr>
                <w:sz w:val="20"/>
                <w:szCs w:val="20"/>
                <w:rtl w:val="0"/>
              </w:rPr>
              <w:t xml:space="preserve">Can fold paper in a variety of ways</w:t>
            </w:r>
          </w:p>
        </w:tc>
        <w:tc>
          <w:tcPr/>
          <w:p w:rsidR="00000000" w:rsidDel="00000000" w:rsidP="00000000" w:rsidRDefault="00000000" w:rsidRPr="00000000" w14:paraId="0000001C">
            <w:pPr>
              <w:rPr>
                <w:sz w:val="20"/>
                <w:szCs w:val="20"/>
              </w:rPr>
            </w:pPr>
            <w:r w:rsidDel="00000000" w:rsidR="00000000" w:rsidRPr="00000000">
              <w:rPr>
                <w:sz w:val="20"/>
                <w:szCs w:val="20"/>
                <w:rtl w:val="0"/>
              </w:rPr>
              <w:t xml:space="preserve">Can use a combination of folded and flat cards to create a multistorey tower </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Can explore how the positioning of folded cards affects the stability of a tower</w:t>
            </w:r>
          </w:p>
          <w:p w:rsidR="00000000" w:rsidDel="00000000" w:rsidP="00000000" w:rsidRDefault="00000000" w:rsidRPr="00000000" w14:paraId="0000001F">
            <w:pPr>
              <w:rPr>
                <w:color w:val="ff0000"/>
                <w:sz w:val="20"/>
                <w:szCs w:val="20"/>
              </w:rPr>
            </w:pPr>
            <w:r w:rsidDel="00000000" w:rsidR="00000000" w:rsidRPr="00000000">
              <w:rPr>
                <w:rtl w:val="0"/>
              </w:rPr>
            </w:r>
          </w:p>
        </w:tc>
        <w:tc>
          <w:tcPr/>
          <w:p w:rsidR="00000000" w:rsidDel="00000000" w:rsidP="00000000" w:rsidRDefault="00000000" w:rsidRPr="00000000" w14:paraId="00000020">
            <w:pPr>
              <w:rPr>
                <w:sz w:val="20"/>
                <w:szCs w:val="20"/>
              </w:rPr>
            </w:pPr>
            <w:r w:rsidDel="00000000" w:rsidR="00000000" w:rsidRPr="00000000">
              <w:rPr>
                <w:sz w:val="20"/>
                <w:szCs w:val="20"/>
                <w:rtl w:val="0"/>
              </w:rPr>
              <w:t xml:space="preserve">Can create a clear design and explain intentions, based on prior knowledge </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Can make a structure in accordance with a set of criteria </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Can conduct a series of tests and suggest ways in which a design should be modified as a result</w:t>
            </w:r>
          </w:p>
        </w:tc>
      </w:tr>
      <w:tr>
        <w:trPr>
          <w:cantSplit w:val="0"/>
          <w:trHeight w:val="1885" w:hRule="atLeast"/>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Recall and retrieval</w:t>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Use scissors correctly Build structures that are free-standing using a range of different materials</w:t>
            </w:r>
          </w:p>
        </w:tc>
        <w:tc>
          <w:tcPr/>
          <w:p w:rsidR="00000000" w:rsidDel="00000000" w:rsidP="00000000" w:rsidRDefault="00000000" w:rsidRPr="00000000" w14:paraId="00000027">
            <w:pPr>
              <w:rPr>
                <w:sz w:val="20"/>
                <w:szCs w:val="20"/>
              </w:rPr>
            </w:pPr>
            <w:r w:rsidDel="00000000" w:rsidR="00000000" w:rsidRPr="00000000">
              <w:rPr>
                <w:sz w:val="20"/>
                <w:szCs w:val="20"/>
                <w:rtl w:val="0"/>
              </w:rPr>
              <w:t xml:space="preserve">A free-standing structure is a structure that stands on its own foundation or base without attachment to anything else </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Folding paper can increase its strength</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A cylindrical pillar is stronger than a rectangular one</w:t>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A combination of folds can increase the stability of paper</w:t>
            </w:r>
          </w:p>
        </w:tc>
      </w:tr>
      <w:tr>
        <w:trPr>
          <w:cantSplit w:val="0"/>
          <w:trHeight w:val="1741" w:hRule="atLeast"/>
          <w:tblHeader w:val="0"/>
        </w:trPr>
        <w:tc>
          <w:tcPr/>
          <w:p w:rsidR="00000000" w:rsidDel="00000000" w:rsidP="00000000" w:rsidRDefault="00000000" w:rsidRPr="00000000" w14:paraId="0000002D">
            <w:pPr>
              <w:jc w:val="center"/>
              <w:rPr>
                <w:rFonts w:ascii="Comic Sans MS" w:cs="Comic Sans MS" w:eastAsia="Comic Sans MS" w:hAnsi="Comic Sans MS"/>
                <w:b w:val="1"/>
                <w:color w:val="ed0000"/>
                <w:sz w:val="20"/>
                <w:szCs w:val="20"/>
              </w:rPr>
            </w:pPr>
            <w:r w:rsidDel="00000000" w:rsidR="00000000" w:rsidRPr="00000000">
              <w:rPr>
                <w:rFonts w:ascii="Comic Sans MS" w:cs="Comic Sans MS" w:eastAsia="Comic Sans MS" w:hAnsi="Comic Sans MS"/>
                <w:b w:val="1"/>
                <w:sz w:val="20"/>
                <w:szCs w:val="20"/>
                <w:rtl w:val="0"/>
              </w:rPr>
              <w:t xml:space="preserve">Sequence of knowledge throughout the lesson</w:t>
            </w:r>
            <w:r w:rsidDel="00000000" w:rsidR="00000000" w:rsidRPr="00000000">
              <w:rPr>
                <w:rtl w:val="0"/>
              </w:rPr>
            </w:r>
          </w:p>
        </w:tc>
        <w:tc>
          <w:tcPr/>
          <w:p w:rsidR="00000000" w:rsidDel="00000000" w:rsidP="00000000" w:rsidRDefault="00000000" w:rsidRPr="00000000" w14:paraId="0000002E">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2F">
            <w:pPr>
              <w:rPr>
                <w:sz w:val="20"/>
                <w:szCs w:val="20"/>
              </w:rPr>
            </w:pPr>
            <w:r w:rsidDel="00000000" w:rsidR="00000000" w:rsidRPr="00000000">
              <w:rPr>
                <w:sz w:val="20"/>
                <w:szCs w:val="20"/>
                <w:rtl w:val="0"/>
              </w:rPr>
              <w:t xml:space="preserve">Can show an understanding of what a fair test is</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Can explain how to make the test fair </w:t>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Can take a systematic approach to testing materials and methods </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Can draw reasonable conclusions and record findings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7">
            <w:pPr>
              <w:spacing w:after="160" w:line="259" w:lineRule="auto"/>
              <w:rPr>
                <w:sz w:val="20"/>
                <w:szCs w:val="20"/>
              </w:rPr>
            </w:pPr>
            <w:r w:rsidDel="00000000" w:rsidR="00000000" w:rsidRPr="00000000">
              <w:rPr>
                <w:sz w:val="20"/>
                <w:szCs w:val="20"/>
                <w:rtl w:val="0"/>
              </w:rPr>
              <w:t xml:space="preserve">Can explain what a storey is </w:t>
            </w:r>
          </w:p>
          <w:p w:rsidR="00000000" w:rsidDel="00000000" w:rsidP="00000000" w:rsidRDefault="00000000" w:rsidRPr="00000000" w14:paraId="00000038">
            <w:pPr>
              <w:spacing w:after="160" w:line="259" w:lineRule="auto"/>
              <w:rPr>
                <w:rFonts w:ascii="Comic Sans MS" w:cs="Comic Sans MS" w:eastAsia="Comic Sans MS" w:hAnsi="Comic Sans MS"/>
                <w:sz w:val="18"/>
                <w:szCs w:val="18"/>
              </w:rPr>
            </w:pPr>
            <w:r w:rsidDel="00000000" w:rsidR="00000000" w:rsidRPr="00000000">
              <w:rPr>
                <w:sz w:val="20"/>
                <w:szCs w:val="20"/>
                <w:rtl w:val="0"/>
              </w:rPr>
              <w:t xml:space="preserve">Can draw conclusions about how the shapes created by folded card affect the stability of a structure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Can draw conclusions about how the shapes created by folded card affect the stability of a structure</w:t>
            </w:r>
          </w:p>
        </w:tc>
      </w:tr>
      <w:tr>
        <w:trPr>
          <w:cantSplit w:val="0"/>
          <w:trHeight w:val="1741" w:hRule="atLeast"/>
          <w:tblHeader w:val="0"/>
        </w:trPr>
        <w:tc>
          <w:tcPr/>
          <w:p w:rsidR="00000000" w:rsidDel="00000000" w:rsidP="00000000" w:rsidRDefault="00000000" w:rsidRPr="00000000" w14:paraId="0000003B">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Scaffolding</w:t>
            </w:r>
          </w:p>
        </w:tc>
        <w:tc>
          <w:tcPr/>
          <w:p w:rsidR="00000000" w:rsidDel="00000000" w:rsidP="00000000" w:rsidRDefault="00000000" w:rsidRPr="00000000" w14:paraId="0000003C">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sz w:val="20"/>
                <w:szCs w:val="20"/>
                <w:rtl w:val="0"/>
              </w:rPr>
              <w:t xml:space="preserve">Teacher guidance</w:t>
            </w:r>
          </w:p>
        </w:tc>
        <w:tc>
          <w:tcPr/>
          <w:p w:rsidR="00000000" w:rsidDel="00000000" w:rsidP="00000000" w:rsidRDefault="00000000" w:rsidRPr="00000000" w14:paraId="00000041">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color w:val="ff0000"/>
                <w:sz w:val="20"/>
                <w:szCs w:val="20"/>
              </w:rPr>
            </w:pPr>
            <w:r w:rsidDel="00000000" w:rsidR="00000000" w:rsidRPr="00000000">
              <w:rPr>
                <w:sz w:val="20"/>
                <w:szCs w:val="20"/>
                <w:rtl w:val="0"/>
              </w:rPr>
              <w:t xml:space="preserve">Teacher guidance</w:t>
            </w:r>
            <w:r w:rsidDel="00000000" w:rsidR="00000000" w:rsidRPr="00000000">
              <w:rPr>
                <w:rtl w:val="0"/>
              </w:rPr>
            </w:r>
          </w:p>
          <w:p w:rsidR="00000000" w:rsidDel="00000000" w:rsidP="00000000" w:rsidRDefault="00000000" w:rsidRPr="00000000" w14:paraId="00000046">
            <w:pPr>
              <w:rPr>
                <w:color w:val="ff0000"/>
              </w:rPr>
            </w:pPr>
            <w:r w:rsidDel="00000000" w:rsidR="00000000" w:rsidRPr="00000000">
              <w:rPr>
                <w:color w:val="ff0000"/>
                <w:rtl w:val="0"/>
              </w:rPr>
              <w:t xml:space="preserve"> </w:t>
            </w:r>
          </w:p>
        </w:tc>
        <w:tc>
          <w:tcPr/>
          <w:p w:rsidR="00000000" w:rsidDel="00000000" w:rsidP="00000000" w:rsidRDefault="00000000" w:rsidRPr="00000000" w14:paraId="00000047">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color w:val="ff0000"/>
                <w:sz w:val="20"/>
                <w:szCs w:val="20"/>
              </w:rPr>
            </w:pPr>
            <w:r w:rsidDel="00000000" w:rsidR="00000000" w:rsidRPr="00000000">
              <w:rPr>
                <w:sz w:val="20"/>
                <w:szCs w:val="20"/>
                <w:rtl w:val="0"/>
              </w:rPr>
              <w:t xml:space="preserve">Teacher guidance</w:t>
            </w: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4C">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Challenge</w:t>
            </w:r>
          </w:p>
        </w:tc>
        <w:tc>
          <w:tcPr/>
          <w:p w:rsidR="00000000" w:rsidDel="00000000" w:rsidP="00000000" w:rsidRDefault="00000000" w:rsidRPr="00000000" w14:paraId="0000004D">
            <w:pPr>
              <w:rPr>
                <w:rFonts w:ascii="Comic Sans MS" w:cs="Comic Sans MS" w:eastAsia="Comic Sans MS" w:hAnsi="Comic Sans MS"/>
                <w:color w:val="ff0000"/>
                <w:sz w:val="20"/>
                <w:szCs w:val="20"/>
              </w:rPr>
            </w:pPr>
            <w:r w:rsidDel="00000000" w:rsidR="00000000" w:rsidRPr="00000000">
              <w:rPr>
                <w:rtl w:val="0"/>
              </w:rPr>
            </w:r>
          </w:p>
        </w:tc>
        <w:tc>
          <w:tcPr/>
          <w:p w:rsidR="00000000" w:rsidDel="00000000" w:rsidP="00000000" w:rsidRDefault="00000000" w:rsidRPr="00000000" w14:paraId="0000004E">
            <w:pPr>
              <w:rPr>
                <w:color w:val="ff0000"/>
                <w:sz w:val="20"/>
                <w:szCs w:val="20"/>
              </w:rPr>
            </w:pPr>
            <w:r w:rsidDel="00000000" w:rsidR="00000000" w:rsidRPr="00000000">
              <w:rPr>
                <w:rtl w:val="0"/>
              </w:rPr>
            </w:r>
          </w:p>
        </w:tc>
        <w:tc>
          <w:tcPr/>
          <w:p w:rsidR="00000000" w:rsidDel="00000000" w:rsidP="00000000" w:rsidRDefault="00000000" w:rsidRPr="00000000" w14:paraId="0000004F">
            <w:pPr>
              <w:rPr>
                <w:rFonts w:ascii="Comic Sans MS" w:cs="Comic Sans MS" w:eastAsia="Comic Sans MS" w:hAnsi="Comic Sans MS"/>
                <w:color w:val="ff0000"/>
                <w:sz w:val="20"/>
                <w:szCs w:val="20"/>
              </w:rPr>
            </w:pP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050">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Vocabulary</w:t>
            </w:r>
          </w:p>
          <w:p w:rsidR="00000000" w:rsidDel="00000000" w:rsidP="00000000" w:rsidRDefault="00000000" w:rsidRPr="00000000" w14:paraId="00000051">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52">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53">
            <w:pPr>
              <w:rPr>
                <w:sz w:val="20"/>
                <w:szCs w:val="20"/>
              </w:rPr>
            </w:pPr>
            <w:r w:rsidDel="00000000" w:rsidR="00000000" w:rsidRPr="00000000">
              <w:rPr>
                <w:sz w:val="20"/>
                <w:szCs w:val="20"/>
                <w:rtl w:val="0"/>
              </w:rPr>
              <w:t xml:space="preserve">paper</w:t>
            </w:r>
          </w:p>
          <w:p w:rsidR="00000000" w:rsidDel="00000000" w:rsidP="00000000" w:rsidRDefault="00000000" w:rsidRPr="00000000" w14:paraId="00000054">
            <w:pPr>
              <w:rPr>
                <w:sz w:val="20"/>
                <w:szCs w:val="20"/>
              </w:rPr>
            </w:pPr>
            <w:r w:rsidDel="00000000" w:rsidR="00000000" w:rsidRPr="00000000">
              <w:rPr>
                <w:sz w:val="20"/>
                <w:szCs w:val="20"/>
                <w:rtl w:val="0"/>
              </w:rPr>
              <w:t xml:space="preserve">crease (noun)</w:t>
            </w:r>
          </w:p>
          <w:p w:rsidR="00000000" w:rsidDel="00000000" w:rsidP="00000000" w:rsidRDefault="00000000" w:rsidRPr="00000000" w14:paraId="00000055">
            <w:pPr>
              <w:rPr>
                <w:sz w:val="20"/>
                <w:szCs w:val="20"/>
              </w:rPr>
            </w:pPr>
            <w:r w:rsidDel="00000000" w:rsidR="00000000" w:rsidRPr="00000000">
              <w:rPr>
                <w:sz w:val="20"/>
                <w:szCs w:val="20"/>
                <w:rtl w:val="0"/>
              </w:rPr>
              <w:t xml:space="preserve">corrugated</w:t>
            </w:r>
          </w:p>
          <w:p w:rsidR="00000000" w:rsidDel="00000000" w:rsidP="00000000" w:rsidRDefault="00000000" w:rsidRPr="00000000" w14:paraId="00000056">
            <w:pPr>
              <w:rPr>
                <w:sz w:val="20"/>
                <w:szCs w:val="20"/>
              </w:rPr>
            </w:pPr>
            <w:r w:rsidDel="00000000" w:rsidR="00000000" w:rsidRPr="00000000">
              <w:rPr>
                <w:sz w:val="20"/>
                <w:szCs w:val="20"/>
                <w:rtl w:val="0"/>
              </w:rPr>
              <w:t xml:space="preserve">storey</w:t>
            </w:r>
          </w:p>
          <w:p w:rsidR="00000000" w:rsidDel="00000000" w:rsidP="00000000" w:rsidRDefault="00000000" w:rsidRPr="00000000" w14:paraId="00000057">
            <w:pPr>
              <w:rPr>
                <w:sz w:val="20"/>
                <w:szCs w:val="20"/>
              </w:rPr>
            </w:pPr>
            <w:r w:rsidDel="00000000" w:rsidR="00000000" w:rsidRPr="00000000">
              <w:rPr>
                <w:sz w:val="20"/>
                <w:szCs w:val="20"/>
                <w:rtl w:val="0"/>
              </w:rPr>
              <w:t xml:space="preserve">pillar</w:t>
            </w:r>
          </w:p>
          <w:p w:rsidR="00000000" w:rsidDel="00000000" w:rsidP="00000000" w:rsidRDefault="00000000" w:rsidRPr="00000000" w14:paraId="00000058">
            <w:pPr>
              <w:rPr>
                <w:sz w:val="20"/>
                <w:szCs w:val="20"/>
              </w:rPr>
            </w:pPr>
            <w:r w:rsidDel="00000000" w:rsidR="00000000" w:rsidRPr="00000000">
              <w:rPr>
                <w:sz w:val="20"/>
                <w:szCs w:val="20"/>
                <w:rtl w:val="0"/>
              </w:rPr>
              <w:t xml:space="preserve">load (noun)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sz w:val="20"/>
                <w:szCs w:val="20"/>
              </w:rPr>
            </w:pPr>
            <w:r w:rsidDel="00000000" w:rsidR="00000000" w:rsidRPr="00000000">
              <w:rPr>
                <w:sz w:val="20"/>
                <w:szCs w:val="20"/>
                <w:rtl w:val="0"/>
              </w:rPr>
              <w:t xml:space="preserve">paper</w:t>
            </w:r>
          </w:p>
          <w:p w:rsidR="00000000" w:rsidDel="00000000" w:rsidP="00000000" w:rsidRDefault="00000000" w:rsidRPr="00000000" w14:paraId="0000005A">
            <w:pPr>
              <w:rPr>
                <w:sz w:val="20"/>
                <w:szCs w:val="20"/>
              </w:rPr>
            </w:pPr>
            <w:r w:rsidDel="00000000" w:rsidR="00000000" w:rsidRPr="00000000">
              <w:rPr>
                <w:sz w:val="20"/>
                <w:szCs w:val="20"/>
                <w:rtl w:val="0"/>
              </w:rPr>
              <w:t xml:space="preserve">crease (noun)</w:t>
            </w:r>
          </w:p>
          <w:p w:rsidR="00000000" w:rsidDel="00000000" w:rsidP="00000000" w:rsidRDefault="00000000" w:rsidRPr="00000000" w14:paraId="0000005B">
            <w:pPr>
              <w:rPr>
                <w:sz w:val="20"/>
                <w:szCs w:val="20"/>
              </w:rPr>
            </w:pPr>
            <w:r w:rsidDel="00000000" w:rsidR="00000000" w:rsidRPr="00000000">
              <w:rPr>
                <w:sz w:val="20"/>
                <w:szCs w:val="20"/>
                <w:rtl w:val="0"/>
              </w:rPr>
              <w:t xml:space="preserve">corrugated</w:t>
            </w:r>
          </w:p>
          <w:p w:rsidR="00000000" w:rsidDel="00000000" w:rsidP="00000000" w:rsidRDefault="00000000" w:rsidRPr="00000000" w14:paraId="0000005C">
            <w:pPr>
              <w:rPr>
                <w:sz w:val="20"/>
                <w:szCs w:val="20"/>
              </w:rPr>
            </w:pPr>
            <w:r w:rsidDel="00000000" w:rsidR="00000000" w:rsidRPr="00000000">
              <w:rPr>
                <w:sz w:val="20"/>
                <w:szCs w:val="20"/>
                <w:rtl w:val="0"/>
              </w:rPr>
              <w:t xml:space="preserve">storey</w:t>
            </w:r>
          </w:p>
          <w:p w:rsidR="00000000" w:rsidDel="00000000" w:rsidP="00000000" w:rsidRDefault="00000000" w:rsidRPr="00000000" w14:paraId="0000005D">
            <w:pPr>
              <w:rPr>
                <w:sz w:val="20"/>
                <w:szCs w:val="20"/>
              </w:rPr>
            </w:pPr>
            <w:r w:rsidDel="00000000" w:rsidR="00000000" w:rsidRPr="00000000">
              <w:rPr>
                <w:sz w:val="20"/>
                <w:szCs w:val="20"/>
                <w:rtl w:val="0"/>
              </w:rPr>
              <w:t xml:space="preserve">pillar</w:t>
            </w:r>
          </w:p>
          <w:p w:rsidR="00000000" w:rsidDel="00000000" w:rsidP="00000000" w:rsidRDefault="00000000" w:rsidRPr="00000000" w14:paraId="0000005E">
            <w:pPr>
              <w:rPr>
                <w:sz w:val="20"/>
                <w:szCs w:val="20"/>
              </w:rPr>
            </w:pPr>
            <w:r w:rsidDel="00000000" w:rsidR="00000000" w:rsidRPr="00000000">
              <w:rPr>
                <w:sz w:val="20"/>
                <w:szCs w:val="20"/>
                <w:rtl w:val="0"/>
              </w:rPr>
              <w:t xml:space="preserve">load (noun)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rPr>
                <w:sz w:val="20"/>
                <w:szCs w:val="20"/>
              </w:rPr>
            </w:pPr>
            <w:r w:rsidDel="00000000" w:rsidR="00000000" w:rsidRPr="00000000">
              <w:rPr>
                <w:sz w:val="20"/>
                <w:szCs w:val="20"/>
                <w:rtl w:val="0"/>
              </w:rPr>
              <w:t xml:space="preserve">paper</w:t>
            </w:r>
          </w:p>
          <w:p w:rsidR="00000000" w:rsidDel="00000000" w:rsidP="00000000" w:rsidRDefault="00000000" w:rsidRPr="00000000" w14:paraId="00000060">
            <w:pPr>
              <w:rPr>
                <w:sz w:val="20"/>
                <w:szCs w:val="20"/>
              </w:rPr>
            </w:pPr>
            <w:r w:rsidDel="00000000" w:rsidR="00000000" w:rsidRPr="00000000">
              <w:rPr>
                <w:sz w:val="20"/>
                <w:szCs w:val="20"/>
                <w:rtl w:val="0"/>
              </w:rPr>
              <w:t xml:space="preserve">crease (noun)</w:t>
            </w:r>
          </w:p>
          <w:p w:rsidR="00000000" w:rsidDel="00000000" w:rsidP="00000000" w:rsidRDefault="00000000" w:rsidRPr="00000000" w14:paraId="00000061">
            <w:pPr>
              <w:rPr>
                <w:sz w:val="20"/>
                <w:szCs w:val="20"/>
              </w:rPr>
            </w:pPr>
            <w:r w:rsidDel="00000000" w:rsidR="00000000" w:rsidRPr="00000000">
              <w:rPr>
                <w:sz w:val="20"/>
                <w:szCs w:val="20"/>
                <w:rtl w:val="0"/>
              </w:rPr>
              <w:t xml:space="preserve">corrugated</w:t>
            </w:r>
          </w:p>
          <w:p w:rsidR="00000000" w:rsidDel="00000000" w:rsidP="00000000" w:rsidRDefault="00000000" w:rsidRPr="00000000" w14:paraId="00000062">
            <w:pPr>
              <w:rPr>
                <w:sz w:val="20"/>
                <w:szCs w:val="20"/>
              </w:rPr>
            </w:pPr>
            <w:r w:rsidDel="00000000" w:rsidR="00000000" w:rsidRPr="00000000">
              <w:rPr>
                <w:sz w:val="20"/>
                <w:szCs w:val="20"/>
                <w:rtl w:val="0"/>
              </w:rPr>
              <w:t xml:space="preserve">storey</w:t>
            </w:r>
          </w:p>
          <w:p w:rsidR="00000000" w:rsidDel="00000000" w:rsidP="00000000" w:rsidRDefault="00000000" w:rsidRPr="00000000" w14:paraId="00000063">
            <w:pPr>
              <w:rPr>
                <w:sz w:val="20"/>
                <w:szCs w:val="20"/>
              </w:rPr>
            </w:pPr>
            <w:r w:rsidDel="00000000" w:rsidR="00000000" w:rsidRPr="00000000">
              <w:rPr>
                <w:sz w:val="20"/>
                <w:szCs w:val="20"/>
                <w:rtl w:val="0"/>
              </w:rPr>
              <w:t xml:space="preserve">pillar</w:t>
            </w:r>
          </w:p>
          <w:p w:rsidR="00000000" w:rsidDel="00000000" w:rsidP="00000000" w:rsidRDefault="00000000" w:rsidRPr="00000000" w14:paraId="00000064">
            <w:pPr>
              <w:rPr>
                <w:sz w:val="20"/>
                <w:szCs w:val="20"/>
              </w:rPr>
            </w:pPr>
            <w:r w:rsidDel="00000000" w:rsidR="00000000" w:rsidRPr="00000000">
              <w:rPr>
                <w:sz w:val="20"/>
                <w:szCs w:val="20"/>
                <w:rtl w:val="0"/>
              </w:rPr>
              <w:t xml:space="preserve">load (noun)</w:t>
            </w:r>
          </w:p>
        </w:tc>
      </w:tr>
    </w:tbl>
    <w:p w:rsidR="00000000" w:rsidDel="00000000" w:rsidP="00000000" w:rsidRDefault="00000000" w:rsidRPr="00000000" w14:paraId="00000065">
      <w:pPr>
        <w:jc w:val="center"/>
        <w:rPr>
          <w:rFonts w:ascii="Comic Sans MS" w:cs="Comic Sans MS" w:eastAsia="Comic Sans MS" w:hAnsi="Comic Sans MS"/>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D1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188B"/>
    <w:pPr>
      <w:ind w:left="720"/>
      <w:contextualSpacing w:val="1"/>
    </w:pPr>
  </w:style>
  <w:style w:type="paragraph" w:styleId="NoSpacing">
    <w:name w:val="No Spacing"/>
    <w:uiPriority w:val="1"/>
    <w:qFormat w:val="1"/>
    <w:rsid w:val="00C75C54"/>
    <w:pPr>
      <w:spacing w:after="0"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0F63F0"/>
  </w:style>
  <w:style w:type="character" w:styleId="eop" w:customStyle="1">
    <w:name w:val="eop"/>
    <w:basedOn w:val="DefaultParagraphFont"/>
    <w:rsid w:val="000F63F0"/>
  </w:style>
  <w:style w:type="paragraph" w:styleId="paragraph" w:customStyle="1">
    <w:name w:val="paragraph"/>
    <w:basedOn w:val="Normal"/>
    <w:rsid w:val="000F63F0"/>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5C55A1"/>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0D5C73"/>
    <w:pPr>
      <w:widowControl w:val="0"/>
      <w:autoSpaceDE w:val="0"/>
      <w:autoSpaceDN w:val="0"/>
      <w:spacing w:after="0" w:line="240" w:lineRule="auto"/>
      <w:ind w:left="471"/>
    </w:pPr>
    <w:rPr>
      <w:rFonts w:ascii="Comic Sans MS" w:cs="Comic Sans MS" w:eastAsia="Comic Sans MS" w:hAnsi="Comic Sans MS"/>
      <w:lang w:val="en-US"/>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YbJDhyxXhnFIY2lWo/bTXQu1zQ==">CgMxLjA4AHIhMWwzMDhhTnBSalZGcVRpSlZvVlVTa3p2YkhWRVNSV2hP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2024-10-13T10:42:00Z</dcterms:created>
  <dc:creator>Deborah Tibble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