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450AD" w14:paraId="3BE2457A" w14:textId="77777777" w:rsidTr="00E450AD">
        <w:tc>
          <w:tcPr>
            <w:tcW w:w="9016" w:type="dxa"/>
            <w:gridSpan w:val="2"/>
            <w:shd w:val="clear" w:color="auto" w:fill="A5C9EB" w:themeFill="text2" w:themeFillTint="40"/>
          </w:tcPr>
          <w:p w14:paraId="027E21C5" w14:textId="07C77D34" w:rsidR="00E450AD" w:rsidRPr="00E450AD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E450AD"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Year </w:t>
            </w:r>
            <w:r w:rsidR="004E1FB9">
              <w:rPr>
                <w:rFonts w:ascii="Calibri" w:hAnsi="Calibri" w:cs="Calibri"/>
                <w:b/>
                <w:bCs/>
                <w:sz w:val="52"/>
                <w:szCs w:val="52"/>
              </w:rPr>
              <w:t>4</w:t>
            </w:r>
          </w:p>
        </w:tc>
      </w:tr>
      <w:tr w:rsidR="00E450AD" w14:paraId="5DD42D36" w14:textId="77777777" w:rsidTr="00E450AD">
        <w:tc>
          <w:tcPr>
            <w:tcW w:w="9016" w:type="dxa"/>
            <w:gridSpan w:val="2"/>
            <w:shd w:val="clear" w:color="auto" w:fill="4C94D8" w:themeFill="text2" w:themeFillTint="80"/>
          </w:tcPr>
          <w:p w14:paraId="07B8F679" w14:textId="681FF52B" w:rsidR="00E450AD" w:rsidRPr="00E450AD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E450AD">
              <w:rPr>
                <w:rFonts w:ascii="Calibri" w:hAnsi="Calibri" w:cs="Calibri"/>
                <w:b/>
                <w:bCs/>
                <w:sz w:val="52"/>
                <w:szCs w:val="52"/>
              </w:rPr>
              <w:t>Advent term</w:t>
            </w:r>
            <w:r w:rsidR="001B0FAD"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 1</w:t>
            </w:r>
          </w:p>
        </w:tc>
      </w:tr>
      <w:tr w:rsidR="00E450AD" w14:paraId="77B229F2" w14:textId="77777777" w:rsidTr="00E450AD">
        <w:tc>
          <w:tcPr>
            <w:tcW w:w="9016" w:type="dxa"/>
            <w:gridSpan w:val="2"/>
            <w:shd w:val="clear" w:color="auto" w:fill="215E99" w:themeFill="text2" w:themeFillTint="BF"/>
          </w:tcPr>
          <w:p w14:paraId="1DCA5F2E" w14:textId="6E4F2BD1" w:rsidR="00E450AD" w:rsidRPr="00E450AD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E450AD">
              <w:rPr>
                <w:rFonts w:ascii="Calibri" w:hAnsi="Calibri" w:cs="Calibri"/>
                <w:b/>
                <w:bCs/>
                <w:sz w:val="52"/>
                <w:szCs w:val="52"/>
              </w:rPr>
              <w:t>Curriculum Newsletter</w:t>
            </w:r>
          </w:p>
        </w:tc>
      </w:tr>
      <w:tr w:rsidR="00E450AD" w14:paraId="17861825" w14:textId="77777777" w:rsidTr="00E450AD">
        <w:tc>
          <w:tcPr>
            <w:tcW w:w="1980" w:type="dxa"/>
            <w:shd w:val="clear" w:color="auto" w:fill="FFFF00"/>
          </w:tcPr>
          <w:p w14:paraId="7BEDDE08" w14:textId="1DF48F95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7036" w:type="dxa"/>
            <w:shd w:val="clear" w:color="auto" w:fill="FFFF00"/>
          </w:tcPr>
          <w:p w14:paraId="7691B480" w14:textId="60A65436" w:rsidR="00E450AD" w:rsidRDefault="004E1FB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The Lion, the Witch and the Wardrobe – The children will rewrite a section of the story in their own words using top tier vocabulary.</w:t>
            </w:r>
          </w:p>
          <w:p w14:paraId="0BAF422E" w14:textId="77777777" w:rsidR="001B0FAD" w:rsidRDefault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F92BC32" w14:textId="71742D55" w:rsidR="00C64A08" w:rsidRDefault="00624B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Recount – The children will recount</w:t>
            </w:r>
            <w:r w:rsidR="00930B1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the lives of the Anglo-Saxons and their arrival in Britain.</w:t>
            </w:r>
          </w:p>
          <w:p w14:paraId="6F6BD98E" w14:textId="061FEC35" w:rsidR="00C64A08" w:rsidRP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450AD" w14:paraId="669298DD" w14:textId="77777777" w:rsidTr="00E450AD">
        <w:tc>
          <w:tcPr>
            <w:tcW w:w="1980" w:type="dxa"/>
            <w:shd w:val="clear" w:color="auto" w:fill="FF0000"/>
          </w:tcPr>
          <w:p w14:paraId="0E590B27" w14:textId="24D4927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7036" w:type="dxa"/>
            <w:shd w:val="clear" w:color="auto" w:fill="FF0000"/>
          </w:tcPr>
          <w:p w14:paraId="05E2877D" w14:textId="1787A8C6" w:rsidR="00E450AD" w:rsidRDefault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Place Value – looking at numbers up to </w:t>
            </w:r>
            <w:r w:rsidR="00624BBB">
              <w:rPr>
                <w:rFonts w:ascii="Calibri" w:hAnsi="Calibri" w:cs="Calibri"/>
                <w:b/>
                <w:bCs/>
                <w:sz w:val="28"/>
                <w:szCs w:val="28"/>
              </w:rPr>
              <w:t>ten thousands including comparing, rounding and ordering numbers.</w:t>
            </w:r>
          </w:p>
          <w:p w14:paraId="48009E80" w14:textId="77777777" w:rsidR="001B0FAD" w:rsidRDefault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90D8421" w14:textId="2FE90B71" w:rsidR="000C66B2" w:rsidRPr="00E450AD" w:rsidRDefault="001B0FAD" w:rsidP="001B0FAD">
            <w:pPr>
              <w:tabs>
                <w:tab w:val="left" w:pos="278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Addition and subtraction – using inverse operations and rounding to check answers and solving multi-step questions.</w:t>
            </w:r>
          </w:p>
        </w:tc>
      </w:tr>
      <w:tr w:rsidR="00E450AD" w14:paraId="55A1B14D" w14:textId="77777777" w:rsidTr="00E450AD">
        <w:tc>
          <w:tcPr>
            <w:tcW w:w="1980" w:type="dxa"/>
            <w:shd w:val="clear" w:color="auto" w:fill="FAE2D5" w:themeFill="accent2" w:themeFillTint="33"/>
          </w:tcPr>
          <w:p w14:paraId="20FF3CF0" w14:textId="6FA8BD0C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7036" w:type="dxa"/>
            <w:shd w:val="clear" w:color="auto" w:fill="FAE2D5" w:themeFill="accent2" w:themeFillTint="33"/>
          </w:tcPr>
          <w:p w14:paraId="595B762F" w14:textId="76761D0D" w:rsidR="00C64A08" w:rsidRDefault="00463432" w:rsidP="000C66B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Creation and Covenant – Delivering our new RE scheme to introduce the children to Joseph’s and Abraham</w:t>
            </w:r>
            <w:r w:rsidR="00686533">
              <w:rPr>
                <w:rFonts w:ascii="Calibri" w:hAnsi="Calibri" w:cs="Calibri"/>
                <w:b/>
                <w:bCs/>
                <w:sz w:val="28"/>
                <w:szCs w:val="28"/>
              </w:rPr>
              <w:t>’s story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. The children will be looking at the story of Abr</w:t>
            </w:r>
            <w:r w:rsidR="00686533"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ham and Sarah and its links to creation. </w:t>
            </w:r>
          </w:p>
          <w:p w14:paraId="7AD1972E" w14:textId="5D33E23E" w:rsidR="00463432" w:rsidRPr="00E450AD" w:rsidRDefault="00463432" w:rsidP="000C66B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450AD" w14:paraId="0301B3A3" w14:textId="77777777" w:rsidTr="00E450AD">
        <w:tc>
          <w:tcPr>
            <w:tcW w:w="1980" w:type="dxa"/>
            <w:shd w:val="clear" w:color="auto" w:fill="8DD873" w:themeFill="accent6" w:themeFillTint="99"/>
          </w:tcPr>
          <w:p w14:paraId="371BBEE6" w14:textId="249CEF6C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7036" w:type="dxa"/>
            <w:shd w:val="clear" w:color="auto" w:fill="8DD873" w:themeFill="accent6" w:themeFillTint="99"/>
          </w:tcPr>
          <w:p w14:paraId="66E69463" w14:textId="417D2CCB" w:rsidR="00C64A08" w:rsidRDefault="00C66B6D" w:rsidP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</w:t>
            </w:r>
            <w:r w:rsidR="00463432">
              <w:rPr>
                <w:rFonts w:ascii="Calibri" w:hAnsi="Calibri" w:cs="Calibri"/>
                <w:b/>
                <w:bCs/>
                <w:sz w:val="28"/>
                <w:szCs w:val="28"/>
              </w:rPr>
              <w:t>iving things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and their habitats</w:t>
            </w:r>
            <w:r w:rsidR="0046343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– The children will be looking at different animal classifications alongside their habitats. </w:t>
            </w:r>
          </w:p>
          <w:p w14:paraId="3E7754EC" w14:textId="65225F28" w:rsidR="00463432" w:rsidRPr="00E450AD" w:rsidRDefault="00463432" w:rsidP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450AD" w14:paraId="60509EFB" w14:textId="77777777" w:rsidTr="00E450AD">
        <w:tc>
          <w:tcPr>
            <w:tcW w:w="1980" w:type="dxa"/>
          </w:tcPr>
          <w:p w14:paraId="735515C8" w14:textId="66FCDD39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Computing</w:t>
            </w:r>
          </w:p>
        </w:tc>
        <w:tc>
          <w:tcPr>
            <w:tcW w:w="7036" w:type="dxa"/>
          </w:tcPr>
          <w:p w14:paraId="53E912C7" w14:textId="682164A1" w:rsidR="00E450AD" w:rsidRDefault="009C3E5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Computer systems and networks</w:t>
            </w:r>
            <w:r w:rsidR="001C32F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The internet</w:t>
            </w:r>
            <w:r w:rsidR="001C32F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- </w:t>
            </w:r>
          </w:p>
          <w:p w14:paraId="223181E3" w14:textId="4BBB172D" w:rsidR="009C3E53" w:rsidRPr="00E450AD" w:rsidRDefault="009C3E5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children </w:t>
            </w:r>
            <w:r w:rsidRPr="009C3E53">
              <w:rPr>
                <w:rFonts w:ascii="Calibri" w:hAnsi="Calibri" w:cs="Calibri"/>
                <w:b/>
                <w:bCs/>
                <w:sz w:val="28"/>
                <w:szCs w:val="28"/>
              </w:rPr>
              <w:t>will apply their knowledge and understanding of networks, to appreciate the internet as a network of networks which need to be kept secure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</w:tc>
      </w:tr>
      <w:tr w:rsidR="00E450AD" w14:paraId="74B1677A" w14:textId="77777777" w:rsidTr="00E450AD">
        <w:tc>
          <w:tcPr>
            <w:tcW w:w="1980" w:type="dxa"/>
            <w:shd w:val="clear" w:color="auto" w:fill="E59EDC" w:themeFill="accent5" w:themeFillTint="66"/>
          </w:tcPr>
          <w:p w14:paraId="0FEFE1E5" w14:textId="229A5DD4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7036" w:type="dxa"/>
            <w:shd w:val="clear" w:color="auto" w:fill="E59EDC" w:themeFill="accent5" w:themeFillTint="66"/>
          </w:tcPr>
          <w:p w14:paraId="70F9CEA0" w14:textId="71816F91" w:rsidR="00463432" w:rsidRDefault="00C66B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Britain settlements by the </w:t>
            </w:r>
            <w:r w:rsidR="0046343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Anglo-Saxons – The children will discover who the Anglo-Saxons are, how they came to Britain and how they lived and survived. </w:t>
            </w:r>
          </w:p>
          <w:p w14:paraId="00B9D873" w14:textId="72F9B74C" w:rsidR="00E450AD" w:rsidRPr="00E450AD" w:rsidRDefault="000C66B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7784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450AD" w14:paraId="044C8815" w14:textId="77777777" w:rsidTr="00E450AD">
        <w:tc>
          <w:tcPr>
            <w:tcW w:w="1980" w:type="dxa"/>
            <w:shd w:val="clear" w:color="auto" w:fill="FFC000"/>
          </w:tcPr>
          <w:p w14:paraId="77F582FF" w14:textId="56D3E35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7036" w:type="dxa"/>
            <w:shd w:val="clear" w:color="auto" w:fill="FFC000"/>
          </w:tcPr>
          <w:p w14:paraId="62AD558B" w14:textId="1148F446" w:rsidR="00C64A08" w:rsidRPr="00C64A08" w:rsidRDefault="00C66B6D" w:rsidP="00C64A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Drawing block A</w:t>
            </w:r>
            <w:r w:rsidR="009C3E5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– The children will discover the work of Giorgio Morandi and will try to recreate his work through the combining of one medium with another.</w:t>
            </w:r>
          </w:p>
          <w:p w14:paraId="20AF6899" w14:textId="2EB79EB2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450AD" w14:paraId="41D26F28" w14:textId="77777777" w:rsidTr="00E450AD">
        <w:tc>
          <w:tcPr>
            <w:tcW w:w="1980" w:type="dxa"/>
            <w:shd w:val="clear" w:color="auto" w:fill="3A7C22" w:themeFill="accent6" w:themeFillShade="BF"/>
          </w:tcPr>
          <w:p w14:paraId="3E85B4D7" w14:textId="0FFDCC89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Music</w:t>
            </w:r>
          </w:p>
        </w:tc>
        <w:tc>
          <w:tcPr>
            <w:tcW w:w="7036" w:type="dxa"/>
            <w:shd w:val="clear" w:color="auto" w:fill="3A7C22" w:themeFill="accent6" w:themeFillShade="BF"/>
          </w:tcPr>
          <w:p w14:paraId="3E2FB93D" w14:textId="48809D37" w:rsidR="001C32FA" w:rsidRDefault="001C32FA" w:rsidP="001C32F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children </w:t>
            </w:r>
            <w:r w:rsidRPr="001C32F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will </w:t>
            </w:r>
            <w:r w:rsidRPr="001C32F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Listen, review, and evaluate music from a range of historical periods, cultures, and traditions.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They will understand how different dynamics can change music.</w:t>
            </w:r>
          </w:p>
          <w:p w14:paraId="2A7767B6" w14:textId="47E2206B" w:rsidR="00C64A08" w:rsidRPr="00E450AD" w:rsidRDefault="00C64A08" w:rsidP="00C66B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450AD" w14:paraId="26A58F89" w14:textId="77777777" w:rsidTr="00E450AD">
        <w:tc>
          <w:tcPr>
            <w:tcW w:w="1980" w:type="dxa"/>
            <w:shd w:val="clear" w:color="auto" w:fill="77206D" w:themeFill="accent5" w:themeFillShade="BF"/>
          </w:tcPr>
          <w:p w14:paraId="58301F28" w14:textId="1716356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French</w:t>
            </w:r>
          </w:p>
        </w:tc>
        <w:tc>
          <w:tcPr>
            <w:tcW w:w="7036" w:type="dxa"/>
            <w:shd w:val="clear" w:color="auto" w:fill="77206D" w:themeFill="accent5" w:themeFillShade="BF"/>
          </w:tcPr>
          <w:p w14:paraId="476A99BB" w14:textId="09595F6D" w:rsidR="00E450AD" w:rsidRDefault="009C3E5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Les saisons</w:t>
            </w:r>
            <w:r w:rsidR="00C64A0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seasons</w:t>
            </w:r>
          </w:p>
          <w:p w14:paraId="492835D2" w14:textId="3B165437" w:rsidR="00C64A08" w:rsidRPr="00E450AD" w:rsidRDefault="009C3E5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The children will learn how to say the seasons in French and be able to explain what happens in each season.</w:t>
            </w:r>
          </w:p>
        </w:tc>
      </w:tr>
      <w:tr w:rsidR="00E450AD" w14:paraId="051D6EF1" w14:textId="77777777" w:rsidTr="00E450AD">
        <w:tc>
          <w:tcPr>
            <w:tcW w:w="1980" w:type="dxa"/>
            <w:shd w:val="clear" w:color="auto" w:fill="00B0F0"/>
          </w:tcPr>
          <w:p w14:paraId="26A42693" w14:textId="09D3CF37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7036" w:type="dxa"/>
            <w:shd w:val="clear" w:color="auto" w:fill="00B0F0"/>
          </w:tcPr>
          <w:p w14:paraId="26BE1CA1" w14:textId="1A074785" w:rsidR="001B0FAD" w:rsidRDefault="001C32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Ball skills – the children will learn a range of ball skills that can be used in multiple ball games.</w:t>
            </w:r>
          </w:p>
          <w:p w14:paraId="179A2793" w14:textId="77777777" w:rsidR="001C32FA" w:rsidRDefault="001C32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268AF65" w14:textId="6037D54F" w:rsidR="00C64A08" w:rsidRPr="00E450AD" w:rsidRDefault="001C32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Dance – the children will learn about different elements that make up dance such as technique, space, flow and mirroring</w:t>
            </w:r>
          </w:p>
        </w:tc>
      </w:tr>
      <w:tr w:rsidR="00E450AD" w14:paraId="6C1E3929" w14:textId="77777777" w:rsidTr="00E450AD">
        <w:tc>
          <w:tcPr>
            <w:tcW w:w="1980" w:type="dxa"/>
            <w:shd w:val="clear" w:color="auto" w:fill="FAE2D5" w:themeFill="accent2" w:themeFillTint="33"/>
          </w:tcPr>
          <w:p w14:paraId="5A8E421F" w14:textId="56BF8D1A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RSHE</w:t>
            </w:r>
          </w:p>
        </w:tc>
        <w:tc>
          <w:tcPr>
            <w:tcW w:w="7036" w:type="dxa"/>
            <w:shd w:val="clear" w:color="auto" w:fill="FAE2D5" w:themeFill="accent2" w:themeFillTint="33"/>
          </w:tcPr>
          <w:p w14:paraId="20A2400F" w14:textId="77777777" w:rsidR="00E450AD" w:rsidRDefault="001778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Laudato Si – The Popes open letter to the world asking them to look after it.</w:t>
            </w:r>
          </w:p>
          <w:p w14:paraId="1DE1FE35" w14:textId="77777777" w:rsidR="001B0FAD" w:rsidRDefault="001B0F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E8B96A0" w14:textId="799B8890" w:rsidR="00177848" w:rsidRPr="00E450AD" w:rsidRDefault="009C3E5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The children will learn about wellbeing, building positive relationships, how to seek support and knowing that it is ok to fail.</w:t>
            </w:r>
          </w:p>
        </w:tc>
      </w:tr>
    </w:tbl>
    <w:p w14:paraId="0FCA6EE3" w14:textId="77777777" w:rsidR="00791700" w:rsidRDefault="00791700"/>
    <w:sectPr w:rsidR="0079170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925D" w14:textId="77777777" w:rsidR="008356F6" w:rsidRDefault="008356F6" w:rsidP="00E450AD">
      <w:pPr>
        <w:spacing w:after="0" w:line="240" w:lineRule="auto"/>
      </w:pPr>
      <w:r>
        <w:separator/>
      </w:r>
    </w:p>
  </w:endnote>
  <w:endnote w:type="continuationSeparator" w:id="0">
    <w:p w14:paraId="632FD226" w14:textId="77777777" w:rsidR="008356F6" w:rsidRDefault="008356F6" w:rsidP="00E4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F8AB" w14:textId="77777777" w:rsidR="008356F6" w:rsidRDefault="008356F6" w:rsidP="00E450AD">
      <w:pPr>
        <w:spacing w:after="0" w:line="240" w:lineRule="auto"/>
      </w:pPr>
      <w:r>
        <w:separator/>
      </w:r>
    </w:p>
  </w:footnote>
  <w:footnote w:type="continuationSeparator" w:id="0">
    <w:p w14:paraId="0EC73DFB" w14:textId="77777777" w:rsidR="008356F6" w:rsidRDefault="008356F6" w:rsidP="00E4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6D7E" w14:textId="07351DB7" w:rsidR="00E450AD" w:rsidRDefault="00E450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8180AF" wp14:editId="0767EBD3">
          <wp:simplePos x="0" y="0"/>
          <wp:positionH relativeFrom="margin">
            <wp:align>center</wp:align>
          </wp:positionH>
          <wp:positionV relativeFrom="paragraph">
            <wp:posOffset>-270952</wp:posOffset>
          </wp:positionV>
          <wp:extent cx="1100455" cy="1122680"/>
          <wp:effectExtent l="0" t="0" r="4445" b="1270"/>
          <wp:wrapThrough wrapText="bothSides">
            <wp:wrapPolygon edited="0">
              <wp:start x="0" y="0"/>
              <wp:lineTo x="0" y="21258"/>
              <wp:lineTo x="21313" y="21258"/>
              <wp:lineTo x="21313" y="0"/>
              <wp:lineTo x="0" y="0"/>
            </wp:wrapPolygon>
          </wp:wrapThrough>
          <wp:docPr id="1" name="Picture 1" descr="G:\Staff Only\School Logos 2014\OLO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aff Only\School Logos 2014\OLO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22CD7" w14:textId="77777777" w:rsidR="00E450AD" w:rsidRDefault="00E45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D"/>
    <w:rsid w:val="0002709E"/>
    <w:rsid w:val="0002748E"/>
    <w:rsid w:val="000B6C47"/>
    <w:rsid w:val="000C66B2"/>
    <w:rsid w:val="00177848"/>
    <w:rsid w:val="001B0FAD"/>
    <w:rsid w:val="001B2975"/>
    <w:rsid w:val="001C32FA"/>
    <w:rsid w:val="002563B0"/>
    <w:rsid w:val="00463432"/>
    <w:rsid w:val="004E1FB9"/>
    <w:rsid w:val="00624BBB"/>
    <w:rsid w:val="00686533"/>
    <w:rsid w:val="00791700"/>
    <w:rsid w:val="008356F6"/>
    <w:rsid w:val="008612E9"/>
    <w:rsid w:val="00922E48"/>
    <w:rsid w:val="00930B1B"/>
    <w:rsid w:val="00985E34"/>
    <w:rsid w:val="009C3E53"/>
    <w:rsid w:val="00A4246C"/>
    <w:rsid w:val="00A623F5"/>
    <w:rsid w:val="00C64A08"/>
    <w:rsid w:val="00C66B6D"/>
    <w:rsid w:val="00E450AD"/>
    <w:rsid w:val="00E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F274"/>
  <w15:chartTrackingRefBased/>
  <w15:docId w15:val="{86612BC5-7FBB-4B37-8066-13CA9B9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0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AD"/>
  </w:style>
  <w:style w:type="paragraph" w:styleId="NormalWeb">
    <w:name w:val="Normal (Web)"/>
    <w:basedOn w:val="Normal"/>
    <w:uiPriority w:val="99"/>
    <w:semiHidden/>
    <w:unhideWhenUsed/>
    <w:rsid w:val="00C6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352</Words>
  <Characters>1816</Characters>
  <Application>Microsoft Office Word</Application>
  <DocSecurity>0</DocSecurity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Tibble</dc:creator>
  <cp:keywords/>
  <dc:description/>
  <cp:lastModifiedBy>Lisa Antonucci</cp:lastModifiedBy>
  <cp:revision>6</cp:revision>
  <dcterms:created xsi:type="dcterms:W3CDTF">2025-09-07T11:54:00Z</dcterms:created>
  <dcterms:modified xsi:type="dcterms:W3CDTF">2025-09-14T20:01:00Z</dcterms:modified>
</cp:coreProperties>
</file>