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036"/>
        <w:tblGridChange w:id="0">
          <w:tblGrid>
            <w:gridCol w:w="1980"/>
            <w:gridCol w:w="7036"/>
          </w:tblGrid>
        </w:tblGridChange>
      </w:tblGrid>
      <w:tr>
        <w:trPr>
          <w:cantSplit w:val="0"/>
          <w:tblHeader w:val="0"/>
        </w:trPr>
        <w:tc>
          <w:tcPr>
            <w:gridSpan w:val="2"/>
            <w:shd w:fill="a5c9eb" w:val="clear"/>
          </w:tcPr>
          <w:p w:rsidR="00000000" w:rsidDel="00000000" w:rsidP="00000000" w:rsidRDefault="00000000" w:rsidRPr="00000000" w14:paraId="00000002">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Year: Reception</w:t>
            </w:r>
          </w:p>
        </w:tc>
      </w:tr>
      <w:tr>
        <w:trPr>
          <w:cantSplit w:val="0"/>
          <w:tblHeader w:val="0"/>
        </w:trPr>
        <w:tc>
          <w:tcPr>
            <w:gridSpan w:val="2"/>
            <w:shd w:fill="4c94d8" w:val="clear"/>
          </w:tcPr>
          <w:p w:rsidR="00000000" w:rsidDel="00000000" w:rsidP="00000000" w:rsidRDefault="00000000" w:rsidRPr="00000000" w14:paraId="00000004">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Lent 2 term</w:t>
            </w:r>
          </w:p>
        </w:tc>
      </w:tr>
      <w:tr>
        <w:trPr>
          <w:cantSplit w:val="0"/>
          <w:tblHeader w:val="0"/>
        </w:trPr>
        <w:tc>
          <w:tcPr>
            <w:gridSpan w:val="2"/>
            <w:shd w:fill="215e99" w:val="clear"/>
          </w:tcPr>
          <w:p w:rsidR="00000000" w:rsidDel="00000000" w:rsidP="00000000" w:rsidRDefault="00000000" w:rsidRPr="00000000" w14:paraId="00000006">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Curriculum Newsletter</w:t>
            </w:r>
          </w:p>
        </w:tc>
      </w:tr>
      <w:tr>
        <w:trPr>
          <w:cantSplit w:val="0"/>
          <w:tblHeader w:val="0"/>
        </w:trPr>
        <w:tc>
          <w:tcPr>
            <w:shd w:fill="ffff00" w:val="clear"/>
          </w:tcPr>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English</w:t>
            </w:r>
          </w:p>
        </w:tc>
        <w:tc>
          <w:tcPr>
            <w:shd w:fill="ffff00" w:val="clear"/>
          </w:tcPr>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 for Writing Fiction – Jack and The Beanstalk</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term the children will further their ‘Talk for Writing’ skills.  They will practise using story-teller voices, as we learn to recite the story of Jack and The Beanstalk. The children find some magic beans and plant them.  Suddenly a beanstalk starts to sprout in the classroom – will it grow all the treats the children are hoping for!?</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Spelling:</w:t>
            </w:r>
            <w:r w:rsidDel="00000000" w:rsidR="00000000" w:rsidRPr="00000000">
              <w:rPr>
                <w:rFonts w:ascii="Calibri" w:cs="Calibri" w:eastAsia="Calibri" w:hAnsi="Calibri"/>
                <w:sz w:val="24"/>
                <w:szCs w:val="24"/>
                <w:rtl w:val="0"/>
              </w:rPr>
              <w:t xml:space="preserve"> This term, the children will continue to consolidate their set 1 digraphs, ch, sh, th, qu, ng, and nk. We refer to these digraphs as ‘special friends’ which are two letters which together make one sound. They will also move on to learning set 2 digraphs, beginning with ‘ay,’ ‘ee,’ ‘igh,’ ow,’ and ‘oo.’  They will continue to ‘Fred Talk’ to orally segment sounds and blend them together. The children will use their segmenting skills to write CVC words and simple captions.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Grammar:</w:t>
            </w:r>
            <w:r w:rsidDel="00000000" w:rsidR="00000000" w:rsidRPr="00000000">
              <w:rPr>
                <w:rFonts w:ascii="Calibri" w:cs="Calibri" w:eastAsia="Calibri" w:hAnsi="Calibri"/>
                <w:sz w:val="24"/>
                <w:szCs w:val="24"/>
                <w:rtl w:val="0"/>
              </w:rPr>
              <w:t xml:space="preserve"> As part of their Talk for Writing lessons, the children will be learning about adjectives and sequencing words. Children who are ready will begin to write simple sentences concentrating on ‘finger spaces,’ between words and a full stop at the end of the sentence.</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Maths</w:t>
            </w:r>
          </w:p>
        </w:tc>
        <w:tc>
          <w:tcPr>
            <w:shd w:fill="ff0000" w:val="clear"/>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Number</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continue to explore number in a hands-on manner by engaging the children with practical activities, games, stories, songs and through play.  We will continue to consolidate numbers 1-8 and then begin to consider numbers 9 and 10.  The children are working towards having a deep understanding of these numbers including the composition of each number.  The children will also begin to investigate length, height and time. </w:t>
            </w:r>
          </w:p>
        </w:tc>
      </w:tr>
      <w:tr>
        <w:trPr>
          <w:cantSplit w:val="0"/>
          <w:trHeight w:val="4350" w:hRule="atLeast"/>
          <w:tblHeader w:val="0"/>
        </w:trPr>
        <w:tc>
          <w:tcPr>
            <w:shd w:fill="fae2d6" w:val="clear"/>
          </w:tcPr>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w:t>
            </w:r>
          </w:p>
        </w:tc>
        <w:tc>
          <w:tcPr>
            <w:shd w:fill="fae2d6" w:val="clear"/>
          </w:tcPr>
          <w:p w:rsidR="00000000" w:rsidDel="00000000" w:rsidP="00000000" w:rsidRDefault="00000000" w:rsidRPr="00000000" w14:paraId="00000016">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term we are looking at the topic of Gathering in R.E. The children will think about Why we gather together when answering our big question and then think about how it makes us feel to gather with our friends and families as well as how and where we can gather. We will be looking at the church and what happens during mass before reenacting it and we will be learning the story of Jesus and the children when Jesus states “let all the children come to me” we will then make stick puppets to retell the story. </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then move on to the topic Growing where we will look at not only how we grow but at different  life cycles and we will also go on a spring walk to look for the signs of spring around school. Our big question to respond to is how and why do things grow. We will also discuss how we grow in our love for God, as Lent is the  time for growing in love. </w:t>
            </w:r>
          </w:p>
        </w:tc>
      </w:tr>
      <w:tr>
        <w:trPr>
          <w:cantSplit w:val="0"/>
          <w:trHeight w:val="2636" w:hRule="atLeast"/>
          <w:tblHeader w:val="0"/>
        </w:trPr>
        <w:tc>
          <w:tcPr>
            <w:shd w:fill="fae2d6" w:val="clear"/>
          </w:tcPr>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Topic – Let’s Grow!</w:t>
            </w:r>
          </w:p>
        </w:tc>
        <w:tc>
          <w:tcPr>
            <w:shd w:fill="fae2d6" w:val="clear"/>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Topic this term is ‘Let’s Grow!’ and our role play area will become a backdrop for Jack and The Beanstalk.  We will plant our own bean plants and learn about the different parts of the plant and what they need in order to grow.  We will welcome the arrival of 10 eggs in an incubator which will give us the wonderful insight into how chicks hatch and grow.  As part of our learning about chicks we will investigate life cycles.  We will think carefully about the changes in season and go on a ‘signs of spring’ hunt around the school grounds looking for different spring flowers.</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 &amp; DT</w:t>
            </w:r>
          </w:p>
        </w:tc>
        <w:tc>
          <w:tcPr>
            <w:shd w:fill="ffc000" w:val="clear"/>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craft area of the classroom continues to be a popular choice for all children.  Here they can find many resources to create pictures and models using different materials and textures.   They continue to revisit and develop previously built skills and ideas, enhancing and refining presentation.  Increasingly careful thought is being given to selecting their own resources to join and assemble materials.  Enjoying crafts together is a wonderfully social activity, encouraging conversation and building vocabulary as they share resources or work together cooperatively as part of a group.  We will continue to consolidate learnings about mixing primary colours to make secondary colours and using white to change the lightness. The children will then use their colour pallete to produce paintings  of sunflowers and spring flowers.</w:t>
            </w:r>
          </w:p>
        </w:tc>
      </w:tr>
      <w:tr>
        <w:trPr>
          <w:cantSplit w:val="0"/>
          <w:tblHeader w:val="0"/>
        </w:trPr>
        <w:tc>
          <w:tcPr>
            <w:shd w:fill="3a7d22" w:val="clear"/>
          </w:tcPr>
          <w:p w:rsidR="00000000" w:rsidDel="00000000" w:rsidP="00000000" w:rsidRDefault="00000000" w:rsidRPr="00000000" w14:paraId="0000002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Music</w:t>
            </w:r>
          </w:p>
        </w:tc>
        <w:tc>
          <w:tcPr>
            <w:shd w:fill="3a7d22" w:val="clear"/>
          </w:tcPr>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enjoy moving their bodies to different music and recognisable songs.  They will explore ‘beat’ by clapping their hands and stomping their feet in time with different tempos.  They will also begin to use  instruments this term to explore their different sounds and play this instruments together to music. </w:t>
            </w:r>
          </w:p>
        </w:tc>
      </w:tr>
      <w:tr>
        <w:trPr>
          <w:cantSplit w:val="0"/>
          <w:tblHeader w:val="0"/>
        </w:trPr>
        <w:tc>
          <w:tcPr>
            <w:shd w:fill="00b0f0" w:val="clear"/>
          </w:tcPr>
          <w:p w:rsidR="00000000" w:rsidDel="00000000" w:rsidP="00000000" w:rsidRDefault="00000000" w:rsidRPr="00000000" w14:paraId="0000002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w:t>
            </w:r>
          </w:p>
        </w:tc>
        <w:tc>
          <w:tcPr>
            <w:shd w:fill="00b0f0" w:val="clear"/>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will deepen their understanding of playing games through the topic of ‘transport.’  Children will practise and further develop fundamental movement skills through games.  They will also learn to score and play by the rules, how to work with a partner and how to work as a team.</w:t>
            </w:r>
          </w:p>
        </w:tc>
      </w:tr>
      <w:tr>
        <w:trPr>
          <w:cantSplit w:val="0"/>
          <w:tblHeader w:val="0"/>
        </w:trPr>
        <w:tc>
          <w:tcPr>
            <w:shd w:fill="fae2d6" w:val="clear"/>
          </w:tcPr>
          <w:p w:rsidR="00000000" w:rsidDel="00000000" w:rsidP="00000000" w:rsidRDefault="00000000" w:rsidRPr="00000000" w14:paraId="0000002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RSHE</w:t>
            </w:r>
          </w:p>
        </w:tc>
        <w:tc>
          <w:tcPr>
            <w:shd w:fill="fae2d6" w:val="clear"/>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RSHE continues to be woven into every aspect of our classroom. This term our RSHE unit is called ‘My Body My rules!’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Children will know that:</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They are entitled to bodily privacy</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That they can and should be open with ‘special people’ they trust if anything troubles them</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That there are different people we can trust for help, especially those closest to us who care for us, including our teachers and our parish priest</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tc>
      </w:tr>
      <w:tr>
        <w:trPr>
          <w:cantSplit w:val="0"/>
          <w:tblHeader w:val="0"/>
        </w:trPr>
        <w:tc>
          <w:tcPr>
            <w:shd w:fill="8ed873" w:val="clear"/>
          </w:tcPr>
          <w:p w:rsidR="00000000" w:rsidDel="00000000" w:rsidP="00000000" w:rsidRDefault="00000000" w:rsidRPr="00000000" w14:paraId="0000002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Curriculum enrichment</w:t>
            </w:r>
          </w:p>
        </w:tc>
        <w:tc>
          <w:tcPr>
            <w:shd w:fill="8ed873" w:val="clear"/>
          </w:tcPr>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enhancement for our topic ‘Let’s Grow the children will have the opportunity to watch eggs hatch and chicks grow.  The children will learn how to look after the chicks and what they need to grow and thrive.  </w:t>
            </w:r>
          </w:p>
        </w:tc>
      </w:tr>
    </w:tbl>
    <w:p w:rsidR="00000000" w:rsidDel="00000000" w:rsidP="00000000" w:rsidRDefault="00000000" w:rsidRPr="00000000" w14:paraId="0000002E">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2315527</wp:posOffset>
          </wp:positionH>
          <wp:positionV relativeFrom="paragraph">
            <wp:posOffset>-270949</wp:posOffset>
          </wp:positionV>
          <wp:extent cx="1100455" cy="1122680"/>
          <wp:effectExtent b="0" l="0" r="0" t="0"/>
          <wp:wrapNone/>
          <wp:docPr descr="G:\Staff Only\School Logos 2014\OLOGC.jpg" id="4" name="image1.jpg"/>
          <a:graphic>
            <a:graphicData uri="http://schemas.openxmlformats.org/drawingml/2006/picture">
              <pic:pic>
                <pic:nvPicPr>
                  <pic:cNvPr descr="G:\Staff Only\School Logos 2014\OLOGC.jpg" id="0" name="image1.jpg"/>
                  <pic:cNvPicPr preferRelativeResize="0"/>
                </pic:nvPicPr>
                <pic:blipFill>
                  <a:blip r:embed="rId1"/>
                  <a:srcRect b="0" l="0" r="0" t="0"/>
                  <a:stretch>
                    <a:fillRect/>
                  </a:stretch>
                </pic:blipFill>
                <pic:spPr>
                  <a:xfrm>
                    <a:off x="0" y="0"/>
                    <a:ext cx="1100455" cy="1122680"/>
                  </a:xfrm>
                  <a:prstGeom prst="rect"/>
                  <a:ln/>
                </pic:spPr>
              </pic:pic>
            </a:graphicData>
          </a:graphic>
        </wp:anchor>
      </w:drawing>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450A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450A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450A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450A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450A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450A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450A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450A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450A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450AD"/>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450A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450A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450A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450A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450A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450A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450A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450A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450A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450A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E450A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450A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450AD"/>
    <w:rPr>
      <w:i w:val="1"/>
      <w:iCs w:val="1"/>
      <w:color w:val="404040" w:themeColor="text1" w:themeTint="0000BF"/>
    </w:rPr>
  </w:style>
  <w:style w:type="paragraph" w:styleId="ListParagraph">
    <w:name w:val="List Paragraph"/>
    <w:basedOn w:val="Normal"/>
    <w:uiPriority w:val="34"/>
    <w:qFormat w:val="1"/>
    <w:rsid w:val="00E450AD"/>
    <w:pPr>
      <w:ind w:left="720"/>
      <w:contextualSpacing w:val="1"/>
    </w:pPr>
  </w:style>
  <w:style w:type="character" w:styleId="IntenseEmphasis">
    <w:name w:val="Intense Emphasis"/>
    <w:basedOn w:val="DefaultParagraphFont"/>
    <w:uiPriority w:val="21"/>
    <w:qFormat w:val="1"/>
    <w:rsid w:val="00E450AD"/>
    <w:rPr>
      <w:i w:val="1"/>
      <w:iCs w:val="1"/>
      <w:color w:val="0f4761" w:themeColor="accent1" w:themeShade="0000BF"/>
    </w:rPr>
  </w:style>
  <w:style w:type="paragraph" w:styleId="IntenseQuote">
    <w:name w:val="Intense Quote"/>
    <w:basedOn w:val="Normal"/>
    <w:next w:val="Normal"/>
    <w:link w:val="IntenseQuoteChar"/>
    <w:uiPriority w:val="30"/>
    <w:qFormat w:val="1"/>
    <w:rsid w:val="00E450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450AD"/>
    <w:rPr>
      <w:i w:val="1"/>
      <w:iCs w:val="1"/>
      <w:color w:val="0f4761" w:themeColor="accent1" w:themeShade="0000BF"/>
    </w:rPr>
  </w:style>
  <w:style w:type="character" w:styleId="IntenseReference">
    <w:name w:val="Intense Reference"/>
    <w:basedOn w:val="DefaultParagraphFont"/>
    <w:uiPriority w:val="32"/>
    <w:qFormat w:val="1"/>
    <w:rsid w:val="00E450AD"/>
    <w:rPr>
      <w:b w:val="1"/>
      <w:bCs w:val="1"/>
      <w:smallCaps w:val="1"/>
      <w:color w:val="0f4761" w:themeColor="accent1" w:themeShade="0000BF"/>
      <w:spacing w:val="5"/>
    </w:rPr>
  </w:style>
  <w:style w:type="table" w:styleId="TableGrid">
    <w:name w:val="Table Grid"/>
    <w:basedOn w:val="TableNormal"/>
    <w:uiPriority w:val="39"/>
    <w:rsid w:val="00E45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450A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50AD"/>
  </w:style>
  <w:style w:type="paragraph" w:styleId="Footer">
    <w:name w:val="footer"/>
    <w:basedOn w:val="Normal"/>
    <w:link w:val="FooterChar"/>
    <w:uiPriority w:val="99"/>
    <w:unhideWhenUsed w:val="1"/>
    <w:rsid w:val="00E450A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50AD"/>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NormalWeb">
    <w:name w:val="Normal (Web)"/>
    <w:basedOn w:val="Normal"/>
    <w:uiPriority w:val="99"/>
    <w:semiHidden w:val="1"/>
    <w:unhideWhenUsed w:val="1"/>
    <w:rsid w:val="009A53BF"/>
    <w:rPr>
      <w:rFonts w:ascii="Times New Roman" w:cs="Times New Roman" w:hAnsi="Times New Roman"/>
      <w:sz w:val="24"/>
      <w:szCs w:val="24"/>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3S2JoKt+r5S+hvpFWOElcK/kjQ==">CgMxLjA4AHIhMURWMVZEczZEU0o5OUNHN044M0oxcXFRbGFXZUZBem8z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2025-03-04T21:30:00Z</dcterms:created>
  <dc:creator>Paul Tibble</dc:creator>
</cp:coreProperties>
</file>