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036"/>
        <w:tblGridChange w:id="0">
          <w:tblGrid>
            <w:gridCol w:w="1980"/>
            <w:gridCol w:w="703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5c9eb" w:val="clear"/>
          </w:tcPr>
          <w:p w:rsidR="00000000" w:rsidDel="00000000" w:rsidP="00000000" w:rsidRDefault="00000000" w:rsidRPr="00000000" w14:paraId="00000002">
            <w:pPr>
              <w:jc w:val="left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Year 1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c94d8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Lent term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15e9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Curriculum Newsletter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RWI- reviewing set 2 &amp; 3 sounds and developing holding a sentence and writing it with punctuation.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Learning features of a chronological report on Mary Anning or David Attenborough and writing a simple factual report on them.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Place value within 20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Addition subtraction within 20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Place value within 50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Special People-What makes a person special?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Eucharist Meals- What makes some meals special?</w:t>
            </w:r>
          </w:p>
        </w:tc>
      </w:tr>
      <w:tr>
        <w:trPr>
          <w:cantSplit w:val="0"/>
          <w:tblHeader w:val="0"/>
        </w:trPr>
        <w:tc>
          <w:tcPr>
            <w:shd w:fill="8ed873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8ed873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everyday materials-Identifying that objects can be made of different materials and the different properties of materials.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Programming-Moving a robot by programming actions such as forwards/backwards. </w:t>
            </w:r>
          </w:p>
        </w:tc>
      </w:tr>
      <w:tr>
        <w:trPr>
          <w:cantSplit w:val="0"/>
          <w:tblHeader w:val="0"/>
        </w:trPr>
        <w:tc>
          <w:tcPr>
            <w:shd w:fill="a5c9eb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shd w:fill="a5c9eb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Significant individuals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rtl w:val="0"/>
              </w:rPr>
              <w:t xml:space="preserve">in the past who have contributed to national and international achievements-We will be looking at Mary Anning and David Attenborough and their discoveries.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Printmaking- Exploring different mark making and printing techniques with stencils. </w:t>
            </w:r>
          </w:p>
        </w:tc>
      </w:tr>
      <w:tr>
        <w:trPr>
          <w:cantSplit w:val="0"/>
          <w:tblHeader w:val="0"/>
        </w:trPr>
        <w:tc>
          <w:tcPr>
            <w:shd w:fill="3a7d2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shd w:fill="3a7d2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Mrs Pattison from OLOL Music service will continue to come in and work with the pupils. They will be looking at a song called “I am in the groove” and clapping patterns, looking at simple notation to support this. </w:t>
            </w:r>
          </w:p>
        </w:tc>
      </w:tr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Dance-creating our own dance using pathways and actions to the theme of weather. 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Fitness-developing coordination of body movements for running and jumping and developing strength,  stamina, agility and balance.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RSHE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Cycle of life, beginnings and endings and exploring change in our lives. </w:t>
            </w:r>
          </w:p>
        </w:tc>
      </w:tr>
      <w:tr>
        <w:trPr>
          <w:cantSplit w:val="0"/>
          <w:tblHeader w:val="0"/>
        </w:trPr>
        <w:tc>
          <w:tcPr>
            <w:shd w:fill="8ed873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Curriculum enrichment</w:t>
            </w:r>
          </w:p>
        </w:tc>
        <w:tc>
          <w:tcPr>
            <w:shd w:fill="8ed873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Library visit 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2315527</wp:posOffset>
          </wp:positionH>
          <wp:positionV relativeFrom="paragraph">
            <wp:posOffset>-270951</wp:posOffset>
          </wp:positionV>
          <wp:extent cx="1100455" cy="1122680"/>
          <wp:effectExtent b="0" l="0" r="0" t="0"/>
          <wp:wrapSquare wrapText="bothSides" distB="0" distT="0" distL="114300" distR="114300"/>
          <wp:docPr descr="G:\Staff Only\School Logos 2014\OLOGC.jpg" id="2" name="image1.jpg"/>
          <a:graphic>
            <a:graphicData uri="http://schemas.openxmlformats.org/drawingml/2006/picture">
              <pic:pic>
                <pic:nvPicPr>
                  <pic:cNvPr descr="G:\Staff Only\School Logos 2014\OLOGC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22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450A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450A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450A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450A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450A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450A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450A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450A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450A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450A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450A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450A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450A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450A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450A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450A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450A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450A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450A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50A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450A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50A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450A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450A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450A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450A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450A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50A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450AD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 w:val="1"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50A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mse59mpBlGMrohJtpQazGIZCQ==">CgMxLjA4AHIhMVdfQVVDR215TEhCczJva1JXd0RqNzV5Qjd5SkIwUnE4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2025-01-01T15:14:00Z</dcterms:created>
  <dc:creator>Paul Tibble</dc:creator>
</cp:coreProperties>
</file>